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072"/>
      </w:tblGrid>
      <w:tr w:rsidR="00946C51" w:rsidRPr="00946C51" w14:paraId="5EFF4915" w14:textId="77777777" w:rsidTr="00946C51">
        <w:trPr>
          <w:tblCellSpacing w:w="0" w:type="dxa"/>
        </w:trPr>
        <w:tc>
          <w:tcPr>
            <w:tcW w:w="0" w:type="auto"/>
            <w:tcMar>
              <w:top w:w="360" w:type="dxa"/>
              <w:left w:w="720" w:type="dxa"/>
              <w:bottom w:w="0" w:type="dxa"/>
              <w:right w:w="720" w:type="dxa"/>
            </w:tcMar>
            <w:hideMark/>
          </w:tcPr>
          <w:p w14:paraId="6068F4CF" w14:textId="77777777" w:rsidR="00946C51" w:rsidRPr="00946C51" w:rsidRDefault="00946C51" w:rsidP="00946C5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fr-BE"/>
              </w:rPr>
            </w:pPr>
            <w:r w:rsidRPr="00946C51">
              <w:rPr>
                <w:rFonts w:ascii="Times New Roman" w:eastAsia="Times New Roman" w:hAnsi="Times New Roman" w:cs="Times New Roman"/>
                <w:b/>
                <w:bCs/>
                <w:kern w:val="36"/>
                <w:sz w:val="48"/>
                <w:szCs w:val="48"/>
                <w:lang w:val="en-US" w:eastAsia="fr-BE"/>
              </w:rPr>
              <w:t>Technical Deep-Dive</w:t>
            </w:r>
          </w:p>
          <w:p w14:paraId="3584A5E1" w14:textId="77777777" w:rsidR="00946C51" w:rsidRPr="00946C51" w:rsidRDefault="00946C51" w:rsidP="00946C51">
            <w:pPr>
              <w:spacing w:before="100" w:beforeAutospacing="1" w:after="100" w:afterAutospacing="1" w:line="240" w:lineRule="auto"/>
              <w:jc w:val="center"/>
              <w:rPr>
                <w:rFonts w:ascii="Times New Roman" w:eastAsia="Times New Roman" w:hAnsi="Times New Roman" w:cs="Times New Roman"/>
                <w:sz w:val="21"/>
                <w:szCs w:val="21"/>
                <w:lang w:val="en-US" w:eastAsia="fr-BE"/>
              </w:rPr>
            </w:pPr>
            <w:r w:rsidRPr="00946C51">
              <w:rPr>
                <w:rFonts w:ascii="Times New Roman" w:eastAsia="Times New Roman" w:hAnsi="Times New Roman" w:cs="Times New Roman"/>
                <w:b/>
                <w:bCs/>
                <w:color w:val="0099FF"/>
                <w:sz w:val="32"/>
                <w:szCs w:val="32"/>
                <w:lang w:val="en-US" w:eastAsia="fr-BE"/>
              </w:rPr>
              <w:t>Green Hydrogen for a Clean Steel Industry?</w:t>
            </w:r>
          </w:p>
          <w:p w14:paraId="3CDC8C2B" w14:textId="77777777" w:rsidR="00946C51" w:rsidRPr="00946C51" w:rsidRDefault="00946C51" w:rsidP="00946C5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fr-BE"/>
              </w:rPr>
            </w:pPr>
            <w:r w:rsidRPr="00946C51">
              <w:rPr>
                <w:rFonts w:ascii="Times New Roman" w:eastAsia="Times New Roman" w:hAnsi="Times New Roman" w:cs="Times New Roman"/>
                <w:b/>
                <w:bCs/>
                <w:kern w:val="36"/>
                <w:sz w:val="48"/>
                <w:szCs w:val="48"/>
                <w:lang w:val="en-US" w:eastAsia="fr-BE"/>
              </w:rPr>
              <w:t xml:space="preserve">By Bernard </w:t>
            </w:r>
            <w:proofErr w:type="spellStart"/>
            <w:r w:rsidRPr="00946C51">
              <w:rPr>
                <w:rFonts w:ascii="Times New Roman" w:eastAsia="Times New Roman" w:hAnsi="Times New Roman" w:cs="Times New Roman"/>
                <w:b/>
                <w:bCs/>
                <w:kern w:val="36"/>
                <w:sz w:val="48"/>
                <w:szCs w:val="48"/>
                <w:lang w:val="en-US" w:eastAsia="fr-BE"/>
              </w:rPr>
              <w:t>Mairy</w:t>
            </w:r>
            <w:proofErr w:type="spellEnd"/>
          </w:p>
          <w:p w14:paraId="73FA28E2" w14:textId="77777777" w:rsidR="00946C51" w:rsidRPr="00946C51" w:rsidRDefault="00946C51" w:rsidP="00946C51">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fr-BE"/>
              </w:rPr>
            </w:pPr>
            <w:r w:rsidRPr="00946C51">
              <w:rPr>
                <w:rFonts w:ascii="Times New Roman" w:eastAsia="Times New Roman" w:hAnsi="Times New Roman" w:cs="Times New Roman"/>
                <w:b/>
                <w:bCs/>
                <w:sz w:val="36"/>
                <w:szCs w:val="36"/>
                <w:lang w:val="en-US" w:eastAsia="fr-BE"/>
              </w:rPr>
              <w:t>S.E.I.I. Executive Director</w:t>
            </w:r>
          </w:p>
        </w:tc>
      </w:tr>
      <w:tr w:rsidR="00946C51" w:rsidRPr="00946C51" w14:paraId="55D304A1" w14:textId="77777777" w:rsidTr="00946C51">
        <w:trPr>
          <w:tblCellSpacing w:w="0" w:type="dxa"/>
        </w:trPr>
        <w:tc>
          <w:tcPr>
            <w:tcW w:w="0" w:type="auto"/>
            <w:tcMar>
              <w:top w:w="360" w:type="dxa"/>
              <w:left w:w="720" w:type="dxa"/>
              <w:bottom w:w="0" w:type="dxa"/>
              <w:right w:w="720" w:type="dxa"/>
            </w:tcMar>
            <w:hideMark/>
          </w:tcPr>
          <w:p w14:paraId="02A38286" w14:textId="302D2246" w:rsidR="00946C51" w:rsidRPr="00946C51" w:rsidRDefault="00946C51" w:rsidP="00946C51">
            <w:pPr>
              <w:spacing w:after="0" w:line="240" w:lineRule="auto"/>
              <w:jc w:val="center"/>
              <w:rPr>
                <w:rFonts w:ascii="Times New Roman" w:eastAsia="Times New Roman" w:hAnsi="Times New Roman" w:cs="Times New Roman"/>
                <w:sz w:val="24"/>
                <w:szCs w:val="24"/>
                <w:lang w:eastAsia="fr-BE"/>
              </w:rPr>
            </w:pPr>
            <w:r w:rsidRPr="00946C51">
              <w:rPr>
                <w:rFonts w:ascii="Times New Roman" w:eastAsia="Times New Roman" w:hAnsi="Times New Roman" w:cs="Times New Roman"/>
                <w:noProof/>
                <w:sz w:val="24"/>
                <w:szCs w:val="24"/>
                <w:lang w:eastAsia="fr-BE"/>
              </w:rPr>
              <w:drawing>
                <wp:inline distT="0" distB="0" distL="0" distR="0" wp14:anchorId="58701F2D" wp14:editId="49A3E8F7">
                  <wp:extent cx="5372100" cy="5372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inline>
              </w:drawing>
            </w:r>
          </w:p>
        </w:tc>
      </w:tr>
    </w:tbl>
    <w:p w14:paraId="48269464" w14:textId="5498C9B4" w:rsidR="00946C51" w:rsidRDefault="00946C51"/>
    <w:tbl>
      <w:tblPr>
        <w:tblW w:w="5000" w:type="pct"/>
        <w:tblCellSpacing w:w="0" w:type="dxa"/>
        <w:tblCellMar>
          <w:left w:w="0" w:type="dxa"/>
          <w:right w:w="0" w:type="dxa"/>
        </w:tblCellMar>
        <w:tblLook w:val="04A0" w:firstRow="1" w:lastRow="0" w:firstColumn="1" w:lastColumn="0" w:noHBand="0" w:noVBand="1"/>
      </w:tblPr>
      <w:tblGrid>
        <w:gridCol w:w="9072"/>
      </w:tblGrid>
      <w:tr w:rsidR="00946C51" w:rsidRPr="00946C51" w14:paraId="2FCF7A2F" w14:textId="77777777" w:rsidTr="00946C51">
        <w:trPr>
          <w:tblCellSpacing w:w="0" w:type="dxa"/>
        </w:trPr>
        <w:tc>
          <w:tcPr>
            <w:tcW w:w="0" w:type="auto"/>
            <w:tcMar>
              <w:top w:w="360" w:type="dxa"/>
              <w:left w:w="720" w:type="dxa"/>
              <w:bottom w:w="0" w:type="dxa"/>
              <w:right w:w="720" w:type="dxa"/>
            </w:tcMar>
            <w:hideMark/>
          </w:tcPr>
          <w:p w14:paraId="7D8A5823" w14:textId="77777777" w:rsidR="00946C51" w:rsidRPr="00946C51" w:rsidRDefault="00946C51" w:rsidP="00946C51">
            <w:pPr>
              <w:pStyle w:val="Titre3"/>
              <w:rPr>
                <w:lang w:val="en-US"/>
              </w:rPr>
            </w:pPr>
            <w:r w:rsidRPr="00946C51">
              <w:rPr>
                <w:rStyle w:val="Accentuation"/>
                <w:lang w:val="en-US"/>
              </w:rPr>
              <w:lastRenderedPageBreak/>
              <w:t>Green Hydrogen, a new star for the Steel Industry?</w:t>
            </w:r>
          </w:p>
          <w:p w14:paraId="3F642ED3" w14:textId="77777777" w:rsidR="00946C51" w:rsidRPr="00946C51" w:rsidRDefault="00946C51" w:rsidP="00946C51">
            <w:pPr>
              <w:pStyle w:val="NormalWeb"/>
              <w:rPr>
                <w:sz w:val="21"/>
                <w:szCs w:val="21"/>
                <w:lang w:val="en-US"/>
              </w:rPr>
            </w:pPr>
            <w:r w:rsidRPr="00946C51">
              <w:rPr>
                <w:lang w:val="en-US"/>
              </w:rPr>
              <w:t xml:space="preserve">1.1. Since end 2019/early 2020, the so-called green hydrogen has become a new star in the ongoing debate for the decarbonation objectives. This debate is mainly concerning the electricity production, the transportation and more recently the energy-intensive industries. Green hydrogen is generated from renewable-based electricity and water </w:t>
            </w:r>
            <w:proofErr w:type="spellStart"/>
            <w:r w:rsidRPr="00946C51">
              <w:rPr>
                <w:lang w:val="en-US"/>
              </w:rPr>
              <w:t>electrolysers</w:t>
            </w:r>
            <w:proofErr w:type="spellEnd"/>
            <w:r w:rsidRPr="00946C51">
              <w:rPr>
                <w:lang w:val="en-US"/>
              </w:rPr>
              <w:t xml:space="preserve"> whereas grey hydrogen refers to conventional steam methane reforming without CO2 capture and blue with partial or total capture of the CO2 produced ; the </w:t>
            </w:r>
            <w:proofErr w:type="spellStart"/>
            <w:r w:rsidRPr="00946C51">
              <w:rPr>
                <w:lang w:val="en-US"/>
              </w:rPr>
              <w:t>latters</w:t>
            </w:r>
            <w:proofErr w:type="spellEnd"/>
            <w:r w:rsidRPr="00946C51">
              <w:rPr>
                <w:lang w:val="en-US"/>
              </w:rPr>
              <w:t xml:space="preserve"> are not considered in this paper.</w:t>
            </w:r>
          </w:p>
          <w:p w14:paraId="01653517" w14:textId="77777777" w:rsidR="00946C51" w:rsidRPr="00946C51" w:rsidRDefault="00946C51" w:rsidP="00946C51">
            <w:pPr>
              <w:pStyle w:val="NormalWeb"/>
              <w:rPr>
                <w:sz w:val="21"/>
                <w:szCs w:val="21"/>
                <w:lang w:val="en-US"/>
              </w:rPr>
            </w:pPr>
            <w:r w:rsidRPr="00946C51">
              <w:rPr>
                <w:lang w:val="en-US"/>
              </w:rPr>
              <w:t>For electricity production, a surprising enthusiasm for green hydrogen has been growing rapidly to further develop the renewable energy sources (wind, solar) but also to compensate for their inevitable intermittency. However, controversy from several energy experts has appeared to oppose the very poor technical efficiency (28% resulting from : 0.80 (</w:t>
            </w:r>
            <w:proofErr w:type="spellStart"/>
            <w:r w:rsidRPr="00946C51">
              <w:rPr>
                <w:lang w:val="en-US"/>
              </w:rPr>
              <w:t>electrolyser</w:t>
            </w:r>
            <w:proofErr w:type="spellEnd"/>
            <w:r w:rsidRPr="00946C51">
              <w:rPr>
                <w:lang w:val="en-US"/>
              </w:rPr>
              <w:t>) x 0.70 (</w:t>
            </w:r>
            <w:proofErr w:type="spellStart"/>
            <w:r w:rsidRPr="00946C51">
              <w:rPr>
                <w:lang w:val="en-US"/>
              </w:rPr>
              <w:t>compression+transportation+storage</w:t>
            </w:r>
            <w:proofErr w:type="spellEnd"/>
            <w:r w:rsidRPr="00946C51">
              <w:rPr>
                <w:lang w:val="en-US"/>
              </w:rPr>
              <w:t>) x 0.50 (fuel cell) = 0.28 for renewable-based H</w:t>
            </w:r>
            <w:r w:rsidRPr="00946C51">
              <w:rPr>
                <w:sz w:val="20"/>
                <w:szCs w:val="20"/>
                <w:lang w:val="en-US"/>
              </w:rPr>
              <w:t>2</w:t>
            </w:r>
            <w:r w:rsidRPr="00946C51">
              <w:rPr>
                <w:lang w:val="en-US"/>
              </w:rPr>
              <w:t xml:space="preserve">) and the challenge of high-power water </w:t>
            </w:r>
            <w:proofErr w:type="spellStart"/>
            <w:r w:rsidRPr="00946C51">
              <w:rPr>
                <w:lang w:val="en-US"/>
              </w:rPr>
              <w:t>electrolysers</w:t>
            </w:r>
            <w:proofErr w:type="spellEnd"/>
            <w:r w:rsidRPr="00946C51">
              <w:rPr>
                <w:lang w:val="en-US"/>
              </w:rPr>
              <w:t xml:space="preserve"> as well as the anticipated high costs of such a new type of electricity production.</w:t>
            </w:r>
          </w:p>
          <w:p w14:paraId="22B25E11" w14:textId="77777777" w:rsidR="00946C51" w:rsidRPr="00946C51" w:rsidRDefault="00946C51" w:rsidP="00946C51">
            <w:pPr>
              <w:pStyle w:val="last-child"/>
              <w:rPr>
                <w:sz w:val="21"/>
                <w:szCs w:val="21"/>
                <w:lang w:val="en-US"/>
              </w:rPr>
            </w:pPr>
            <w:r w:rsidRPr="00946C51">
              <w:rPr>
                <w:lang w:val="en-US"/>
              </w:rPr>
              <w:t>1.2. The present paper is dealing with the possible use of green hydrogen in the steel industry, one of the most energy-intensive heavy industries, actually not as an energy vector but instead as an alternative reductant. This would contribute to substantially reducing the CO</w:t>
            </w:r>
            <w:r w:rsidRPr="00946C51">
              <w:rPr>
                <w:sz w:val="20"/>
                <w:szCs w:val="20"/>
                <w:lang w:val="en-US"/>
              </w:rPr>
              <w:t>2</w:t>
            </w:r>
            <w:r w:rsidRPr="00946C51">
              <w:rPr>
                <w:lang w:val="en-US"/>
              </w:rPr>
              <w:t xml:space="preserve"> emissions, specifically in the upstream ironmaking and steelmaking processes (the downstream processes like rolling and finishing are not considered hereafter).</w:t>
            </w:r>
          </w:p>
        </w:tc>
      </w:tr>
      <w:tr w:rsidR="00946C51" w14:paraId="21673A30" w14:textId="77777777" w:rsidTr="00946C51">
        <w:trPr>
          <w:tblCellSpacing w:w="0" w:type="dxa"/>
        </w:trPr>
        <w:tc>
          <w:tcPr>
            <w:tcW w:w="0" w:type="auto"/>
            <w:tcMar>
              <w:top w:w="360" w:type="dxa"/>
              <w:left w:w="720" w:type="dxa"/>
              <w:bottom w:w="0" w:type="dxa"/>
              <w:right w:w="720" w:type="dxa"/>
            </w:tcMar>
            <w:hideMark/>
          </w:tcPr>
          <w:p w14:paraId="458F3168" w14:textId="5E164E00" w:rsidR="00946C51" w:rsidRDefault="00946C51">
            <w:pPr>
              <w:jc w:val="center"/>
              <w:rPr>
                <w:sz w:val="24"/>
                <w:szCs w:val="24"/>
              </w:rPr>
            </w:pPr>
            <w:r>
              <w:rPr>
                <w:noProof/>
              </w:rPr>
              <w:drawing>
                <wp:inline distT="0" distB="0" distL="0" distR="0" wp14:anchorId="474D8C05" wp14:editId="46705269">
                  <wp:extent cx="5372100" cy="3581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r w:rsidR="00946C51" w:rsidRPr="00946C51" w14:paraId="6FA7BDA6" w14:textId="77777777" w:rsidTr="00946C51">
        <w:trPr>
          <w:tblCellSpacing w:w="0" w:type="dxa"/>
        </w:trPr>
        <w:tc>
          <w:tcPr>
            <w:tcW w:w="0" w:type="auto"/>
            <w:tcMar>
              <w:top w:w="360" w:type="dxa"/>
              <w:left w:w="720" w:type="dxa"/>
              <w:bottom w:w="0" w:type="dxa"/>
              <w:right w:w="720" w:type="dxa"/>
            </w:tcMar>
            <w:hideMark/>
          </w:tcPr>
          <w:p w14:paraId="103005AD" w14:textId="77777777" w:rsidR="00946C51" w:rsidRPr="00946C51" w:rsidRDefault="00946C51" w:rsidP="00946C51">
            <w:pPr>
              <w:pStyle w:val="Titre3"/>
              <w:rPr>
                <w:lang w:val="en-US"/>
              </w:rPr>
            </w:pPr>
            <w:r w:rsidRPr="00946C51">
              <w:rPr>
                <w:rStyle w:val="Accentuation"/>
                <w:lang w:val="en-US"/>
              </w:rPr>
              <w:lastRenderedPageBreak/>
              <w:t>The Steel Industry, a big player</w:t>
            </w:r>
          </w:p>
          <w:p w14:paraId="1D568734" w14:textId="77777777" w:rsidR="00946C51" w:rsidRPr="00946C51" w:rsidRDefault="00946C51" w:rsidP="00946C51">
            <w:pPr>
              <w:pStyle w:val="NormalWeb"/>
              <w:rPr>
                <w:sz w:val="21"/>
                <w:szCs w:val="21"/>
                <w:lang w:val="en-US"/>
              </w:rPr>
            </w:pPr>
            <w:r w:rsidRPr="00946C51">
              <w:rPr>
                <w:lang w:val="en-US"/>
              </w:rPr>
              <w:t>2. As a preliminary to appraise the importance of the steel industry, some typical specific figures have to be recapped:</w:t>
            </w:r>
          </w:p>
          <w:p w14:paraId="1B8DA910" w14:textId="77777777" w:rsidR="00946C51" w:rsidRPr="00946C51" w:rsidRDefault="00946C51" w:rsidP="00946C51">
            <w:pPr>
              <w:pStyle w:val="NormalWeb"/>
              <w:numPr>
                <w:ilvl w:val="0"/>
                <w:numId w:val="1"/>
              </w:numPr>
              <w:rPr>
                <w:sz w:val="21"/>
                <w:szCs w:val="21"/>
                <w:lang w:val="en-US"/>
              </w:rPr>
            </w:pPr>
            <w:r w:rsidRPr="00946C51">
              <w:rPr>
                <w:lang w:val="en-US"/>
              </w:rPr>
              <w:t>End of 2020, the total world crude steel (CS) production was just 1.9 billion metric tons/y.</w:t>
            </w:r>
          </w:p>
          <w:p w14:paraId="249B961E" w14:textId="77777777" w:rsidR="00946C51" w:rsidRPr="00946C51" w:rsidRDefault="00946C51" w:rsidP="00946C51">
            <w:pPr>
              <w:pStyle w:val="NormalWeb"/>
              <w:numPr>
                <w:ilvl w:val="0"/>
                <w:numId w:val="1"/>
              </w:numPr>
              <w:rPr>
                <w:sz w:val="21"/>
                <w:szCs w:val="21"/>
                <w:lang w:val="en-US"/>
              </w:rPr>
            </w:pPr>
            <w:r w:rsidRPr="00946C51">
              <w:rPr>
                <w:lang w:val="en-US"/>
              </w:rPr>
              <w:t>The world steel production is responsible for 7–8 % of the global CO</w:t>
            </w:r>
            <w:r w:rsidRPr="00946C51">
              <w:rPr>
                <w:sz w:val="20"/>
                <w:szCs w:val="20"/>
                <w:lang w:val="en-US"/>
              </w:rPr>
              <w:t>2</w:t>
            </w:r>
            <w:r w:rsidRPr="00946C51">
              <w:rPr>
                <w:lang w:val="en-US"/>
              </w:rPr>
              <w:t xml:space="preserve"> emissions i.e. around 2.6 billion tons CO2/y. </w:t>
            </w:r>
          </w:p>
          <w:p w14:paraId="7FDAC56D" w14:textId="77777777" w:rsidR="00946C51" w:rsidRPr="00946C51" w:rsidRDefault="00946C51" w:rsidP="00946C51">
            <w:pPr>
              <w:pStyle w:val="NormalWeb"/>
              <w:numPr>
                <w:ilvl w:val="0"/>
                <w:numId w:val="1"/>
              </w:numPr>
              <w:rPr>
                <w:sz w:val="21"/>
                <w:szCs w:val="21"/>
                <w:lang w:val="en-US"/>
              </w:rPr>
            </w:pPr>
            <w:r w:rsidRPr="00946C51">
              <w:rPr>
                <w:lang w:val="en-US"/>
              </w:rPr>
              <w:t xml:space="preserve">The upstream iron and steel productions are mainly based on </w:t>
            </w:r>
            <w:r w:rsidRPr="00946C51">
              <w:rPr>
                <w:rStyle w:val="lev"/>
                <w:lang w:val="en-US"/>
              </w:rPr>
              <w:t>three routes</w:t>
            </w:r>
            <w:r w:rsidRPr="00946C51">
              <w:rPr>
                <w:lang w:val="en-US"/>
              </w:rPr>
              <w:t xml:space="preserve"> (the percentages are worldwide ; see also figure below) :</w:t>
            </w:r>
          </w:p>
          <w:p w14:paraId="06D4E036" w14:textId="77777777" w:rsidR="00946C51" w:rsidRPr="00946C51" w:rsidRDefault="00946C51" w:rsidP="00946C51">
            <w:pPr>
              <w:pStyle w:val="NormalWeb"/>
              <w:rPr>
                <w:sz w:val="21"/>
                <w:szCs w:val="21"/>
                <w:lang w:val="en-US"/>
              </w:rPr>
            </w:pPr>
            <w:r w:rsidRPr="00946C51">
              <w:rPr>
                <w:sz w:val="21"/>
                <w:szCs w:val="21"/>
                <w:lang w:val="en-US"/>
              </w:rPr>
              <w:t xml:space="preserve">a. </w:t>
            </w:r>
            <w:r w:rsidRPr="00946C51">
              <w:rPr>
                <w:lang w:val="en-US"/>
              </w:rPr>
              <w:t xml:space="preserve">Integrated route : Blast-Furnace (BF) + Basic-Oxygen Furnace (BOF) = </w:t>
            </w:r>
            <w:r w:rsidRPr="00946C51">
              <w:rPr>
                <w:rStyle w:val="lev"/>
                <w:lang w:val="en-US"/>
              </w:rPr>
              <w:t xml:space="preserve">70% </w:t>
            </w:r>
            <w:r w:rsidRPr="00946C51">
              <w:rPr>
                <w:lang w:val="en-US"/>
              </w:rPr>
              <w:t>b.</w:t>
            </w:r>
            <w:r w:rsidRPr="00946C51">
              <w:rPr>
                <w:rStyle w:val="lev"/>
                <w:lang w:val="en-US"/>
              </w:rPr>
              <w:t xml:space="preserve"> </w:t>
            </w:r>
            <w:r w:rsidRPr="00946C51">
              <w:rPr>
                <w:lang w:val="en-US"/>
              </w:rPr>
              <w:t xml:space="preserve">Scrap-based Electric Arc-Furnace (EAF) = </w:t>
            </w:r>
            <w:r w:rsidRPr="00946C51">
              <w:rPr>
                <w:rStyle w:val="lev"/>
                <w:lang w:val="en-US"/>
              </w:rPr>
              <w:t xml:space="preserve">25% </w:t>
            </w:r>
            <w:r w:rsidRPr="00946C51">
              <w:rPr>
                <w:b/>
                <w:bCs/>
                <w:lang w:val="en-US"/>
              </w:rPr>
              <w:br/>
            </w:r>
            <w:r w:rsidRPr="00946C51">
              <w:rPr>
                <w:lang w:val="en-US"/>
              </w:rPr>
              <w:t xml:space="preserve">c. Direct reduction of Iron Ore (DRI) + Electric Arc-Furnace (EAF) = </w:t>
            </w:r>
            <w:r w:rsidRPr="00946C51">
              <w:rPr>
                <w:rStyle w:val="lev"/>
                <w:lang w:val="en-US"/>
              </w:rPr>
              <w:t>5%</w:t>
            </w:r>
          </w:p>
          <w:p w14:paraId="2FAA239A" w14:textId="77777777" w:rsidR="00946C51" w:rsidRPr="00946C51" w:rsidRDefault="00946C51" w:rsidP="00946C51">
            <w:pPr>
              <w:pStyle w:val="Titre3"/>
              <w:rPr>
                <w:sz w:val="27"/>
                <w:szCs w:val="27"/>
                <w:lang w:val="en-US"/>
              </w:rPr>
            </w:pPr>
            <w:r w:rsidRPr="00946C51">
              <w:rPr>
                <w:rStyle w:val="Accentuation"/>
                <w:lang w:val="en-US"/>
              </w:rPr>
              <w:t>Green Hydrogen to replace Carbon as Reductant?</w:t>
            </w:r>
          </w:p>
          <w:p w14:paraId="2D249653" w14:textId="77777777" w:rsidR="00946C51" w:rsidRPr="00946C51" w:rsidRDefault="00946C51" w:rsidP="00946C51">
            <w:pPr>
              <w:pStyle w:val="last-child"/>
              <w:rPr>
                <w:sz w:val="21"/>
                <w:szCs w:val="21"/>
                <w:lang w:val="en-US"/>
              </w:rPr>
            </w:pPr>
            <w:r w:rsidRPr="00946C51">
              <w:rPr>
                <w:lang w:val="en-US"/>
              </w:rPr>
              <w:t>3.1. The use of green hydrogen as reductant would concern routes a and c (route b is disregarded as being a melting process and therefore will not be further discussed). For routes a and c, the following simplified chemical reactions are prevailing :</w:t>
            </w:r>
          </w:p>
        </w:tc>
      </w:tr>
      <w:tr w:rsidR="00946C51" w14:paraId="19C40465" w14:textId="77777777" w:rsidTr="00946C51">
        <w:trPr>
          <w:tblCellSpacing w:w="0" w:type="dxa"/>
        </w:trPr>
        <w:tc>
          <w:tcPr>
            <w:tcW w:w="0" w:type="auto"/>
            <w:tcMar>
              <w:top w:w="360" w:type="dxa"/>
              <w:left w:w="720" w:type="dxa"/>
              <w:bottom w:w="0" w:type="dxa"/>
              <w:right w:w="720" w:type="dxa"/>
            </w:tcMar>
            <w:hideMark/>
          </w:tcPr>
          <w:p w14:paraId="11237ECC" w14:textId="01ABC882" w:rsidR="00946C51" w:rsidRDefault="00946C51">
            <w:pPr>
              <w:jc w:val="center"/>
              <w:rPr>
                <w:sz w:val="24"/>
                <w:szCs w:val="24"/>
              </w:rPr>
            </w:pPr>
            <w:r>
              <w:rPr>
                <w:noProof/>
              </w:rPr>
              <w:drawing>
                <wp:inline distT="0" distB="0" distL="0" distR="0" wp14:anchorId="0501877E" wp14:editId="68D655F0">
                  <wp:extent cx="5372100" cy="3581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r w:rsidR="00946C51" w:rsidRPr="00946C51" w14:paraId="05D1AE26" w14:textId="77777777" w:rsidTr="00946C51">
        <w:trPr>
          <w:tblCellSpacing w:w="0" w:type="dxa"/>
        </w:trPr>
        <w:tc>
          <w:tcPr>
            <w:tcW w:w="0" w:type="auto"/>
            <w:tcMar>
              <w:top w:w="360" w:type="dxa"/>
              <w:left w:w="720" w:type="dxa"/>
              <w:bottom w:w="0" w:type="dxa"/>
              <w:right w:w="720" w:type="dxa"/>
            </w:tcMar>
            <w:hideMark/>
          </w:tcPr>
          <w:p w14:paraId="0FE95795" w14:textId="77777777" w:rsidR="00946C51" w:rsidRPr="00946C51" w:rsidRDefault="00946C51" w:rsidP="00946C51">
            <w:pPr>
              <w:pStyle w:val="NormalWeb"/>
              <w:numPr>
                <w:ilvl w:val="0"/>
                <w:numId w:val="2"/>
              </w:numPr>
              <w:rPr>
                <w:sz w:val="21"/>
                <w:szCs w:val="21"/>
                <w:lang w:val="en-US"/>
              </w:rPr>
            </w:pPr>
            <w:r w:rsidRPr="00946C51">
              <w:rPr>
                <w:lang w:val="en-US"/>
              </w:rPr>
              <w:t>Route a (BF+BOF) based on coke (distilled coal) and mostly injected coal as reductant:</w:t>
            </w:r>
          </w:p>
        </w:tc>
      </w:tr>
      <w:tr w:rsidR="00946C51" w:rsidRPr="00946C51" w14:paraId="5B7A5ABC" w14:textId="77777777" w:rsidTr="00946C51">
        <w:trPr>
          <w:tblCellSpacing w:w="0" w:type="dxa"/>
        </w:trPr>
        <w:tc>
          <w:tcPr>
            <w:tcW w:w="0" w:type="auto"/>
            <w:tcMar>
              <w:top w:w="360" w:type="dxa"/>
              <w:left w:w="720" w:type="dxa"/>
              <w:bottom w:w="0" w:type="dxa"/>
              <w:right w:w="720" w:type="dxa"/>
            </w:tcMar>
            <w:hideMark/>
          </w:tcPr>
          <w:p w14:paraId="58129210" w14:textId="77777777" w:rsidR="00946C51" w:rsidRPr="00946C51" w:rsidRDefault="00946C51">
            <w:pPr>
              <w:pStyle w:val="last-child"/>
              <w:rPr>
                <w:sz w:val="21"/>
                <w:szCs w:val="21"/>
                <w:lang w:val="en-US"/>
              </w:rPr>
            </w:pPr>
            <w:r w:rsidRPr="00946C51">
              <w:rPr>
                <w:lang w:val="en-US"/>
              </w:rPr>
              <w:lastRenderedPageBreak/>
              <w:t>In short, then in more details:</w:t>
            </w:r>
          </w:p>
        </w:tc>
      </w:tr>
      <w:tr w:rsidR="00946C51" w14:paraId="21B7922B" w14:textId="77777777" w:rsidTr="00946C51">
        <w:trPr>
          <w:tblCellSpacing w:w="0" w:type="dxa"/>
        </w:trPr>
        <w:tc>
          <w:tcPr>
            <w:tcW w:w="0" w:type="auto"/>
            <w:tcMar>
              <w:top w:w="360" w:type="dxa"/>
              <w:left w:w="720" w:type="dxa"/>
              <w:bottom w:w="0" w:type="dxa"/>
              <w:right w:w="720" w:type="dxa"/>
            </w:tcMar>
            <w:hideMark/>
          </w:tcPr>
          <w:p w14:paraId="7FF7BFDA" w14:textId="77777777" w:rsidR="00946C51" w:rsidRDefault="00946C51">
            <w:pPr>
              <w:pStyle w:val="NormalWeb"/>
              <w:jc w:val="center"/>
              <w:rPr>
                <w:sz w:val="21"/>
                <w:szCs w:val="21"/>
              </w:rPr>
            </w:pPr>
            <w:r>
              <w:t>Fe</w:t>
            </w:r>
            <w:r>
              <w:rPr>
                <w:sz w:val="21"/>
                <w:szCs w:val="21"/>
              </w:rPr>
              <w:t>2</w:t>
            </w:r>
            <w:r>
              <w:t>O</w:t>
            </w:r>
            <w:r>
              <w:rPr>
                <w:sz w:val="21"/>
                <w:szCs w:val="21"/>
              </w:rPr>
              <w:t>3</w:t>
            </w:r>
            <w:r>
              <w:t xml:space="preserve"> +3CO = 2Fe + 3CO</w:t>
            </w:r>
            <w:r>
              <w:rPr>
                <w:sz w:val="21"/>
                <w:szCs w:val="21"/>
              </w:rPr>
              <w:t>2</w:t>
            </w:r>
          </w:p>
          <w:p w14:paraId="5E87FB11" w14:textId="77777777" w:rsidR="00946C51" w:rsidRDefault="00946C51">
            <w:pPr>
              <w:pStyle w:val="last-child"/>
              <w:jc w:val="center"/>
              <w:rPr>
                <w:sz w:val="21"/>
                <w:szCs w:val="21"/>
              </w:rPr>
            </w:pPr>
            <w:r>
              <w:t>Fe</w:t>
            </w:r>
            <w:r>
              <w:rPr>
                <w:sz w:val="21"/>
                <w:szCs w:val="21"/>
              </w:rPr>
              <w:t>2</w:t>
            </w:r>
            <w:r>
              <w:t>O</w:t>
            </w:r>
            <w:r>
              <w:rPr>
                <w:sz w:val="21"/>
                <w:szCs w:val="21"/>
              </w:rPr>
              <w:t>3</w:t>
            </w:r>
            <w:r>
              <w:t xml:space="preserve"> + 3C = 2Fe + 3CO</w:t>
            </w:r>
          </w:p>
        </w:tc>
      </w:tr>
      <w:tr w:rsidR="00946C51" w14:paraId="3B84C92B" w14:textId="77777777" w:rsidTr="00946C51">
        <w:trPr>
          <w:tblCellSpacing w:w="0" w:type="dxa"/>
        </w:trPr>
        <w:tc>
          <w:tcPr>
            <w:tcW w:w="0" w:type="auto"/>
            <w:tcMar>
              <w:top w:w="360" w:type="dxa"/>
              <w:left w:w="720" w:type="dxa"/>
              <w:bottom w:w="0" w:type="dxa"/>
              <w:right w:w="720" w:type="dxa"/>
            </w:tcMar>
            <w:hideMark/>
          </w:tcPr>
          <w:p w14:paraId="1A6F510B" w14:textId="77777777" w:rsidR="00946C51" w:rsidRDefault="00946C51">
            <w:pPr>
              <w:pStyle w:val="last-child"/>
              <w:rPr>
                <w:sz w:val="21"/>
                <w:szCs w:val="21"/>
              </w:rPr>
            </w:pPr>
            <w:r>
              <w:t xml:space="preserve">Indirect </w:t>
            </w:r>
            <w:proofErr w:type="spellStart"/>
            <w:r>
              <w:t>reduction</w:t>
            </w:r>
            <w:proofErr w:type="spellEnd"/>
            <w:r>
              <w:t xml:space="preserve"> in BF:</w:t>
            </w:r>
          </w:p>
        </w:tc>
      </w:tr>
      <w:tr w:rsidR="00946C51" w14:paraId="75D62FA2" w14:textId="77777777" w:rsidTr="00946C51">
        <w:trPr>
          <w:tblCellSpacing w:w="0" w:type="dxa"/>
        </w:trPr>
        <w:tc>
          <w:tcPr>
            <w:tcW w:w="0" w:type="auto"/>
            <w:tcMar>
              <w:top w:w="360" w:type="dxa"/>
              <w:left w:w="720" w:type="dxa"/>
              <w:bottom w:w="0" w:type="dxa"/>
              <w:right w:w="720" w:type="dxa"/>
            </w:tcMar>
            <w:hideMark/>
          </w:tcPr>
          <w:p w14:paraId="70265CF8" w14:textId="77777777" w:rsidR="00946C51" w:rsidRDefault="00946C51">
            <w:pPr>
              <w:pStyle w:val="NormalWeb"/>
              <w:jc w:val="center"/>
              <w:rPr>
                <w:sz w:val="21"/>
                <w:szCs w:val="21"/>
              </w:rPr>
            </w:pPr>
            <w:r>
              <w:t>3 Fe2O3 + CO = 2 Fe3O4 + CO2</w:t>
            </w:r>
          </w:p>
          <w:p w14:paraId="0AC99AF2" w14:textId="77777777" w:rsidR="00946C51" w:rsidRDefault="00946C51">
            <w:pPr>
              <w:pStyle w:val="NormalWeb"/>
              <w:jc w:val="center"/>
              <w:rPr>
                <w:sz w:val="21"/>
                <w:szCs w:val="21"/>
              </w:rPr>
            </w:pPr>
            <w:r>
              <w:t xml:space="preserve">2 Fe3O4 + 2 CO = 6 </w:t>
            </w:r>
            <w:proofErr w:type="spellStart"/>
            <w:r>
              <w:t>FeO</w:t>
            </w:r>
            <w:proofErr w:type="spellEnd"/>
            <w:r>
              <w:t xml:space="preserve"> + 2 CO2</w:t>
            </w:r>
          </w:p>
          <w:p w14:paraId="7349EB56" w14:textId="77777777" w:rsidR="00946C51" w:rsidRDefault="00946C51">
            <w:pPr>
              <w:pStyle w:val="last-child"/>
              <w:jc w:val="center"/>
              <w:rPr>
                <w:sz w:val="21"/>
                <w:szCs w:val="21"/>
              </w:rPr>
            </w:pPr>
            <w:r>
              <w:t xml:space="preserve">6 </w:t>
            </w:r>
            <w:proofErr w:type="spellStart"/>
            <w:r>
              <w:t>FeO</w:t>
            </w:r>
            <w:proofErr w:type="spellEnd"/>
            <w:r>
              <w:t xml:space="preserve"> + 6 CO = 6 Fe + 6 CO2</w:t>
            </w:r>
          </w:p>
        </w:tc>
      </w:tr>
      <w:tr w:rsidR="00946C51" w14:paraId="38210FE7" w14:textId="77777777" w:rsidTr="00946C51">
        <w:trPr>
          <w:tblCellSpacing w:w="0" w:type="dxa"/>
        </w:trPr>
        <w:tc>
          <w:tcPr>
            <w:tcW w:w="0" w:type="auto"/>
            <w:tcMar>
              <w:top w:w="360" w:type="dxa"/>
              <w:left w:w="720" w:type="dxa"/>
              <w:bottom w:w="0" w:type="dxa"/>
              <w:right w:w="720" w:type="dxa"/>
            </w:tcMar>
            <w:hideMark/>
          </w:tcPr>
          <w:p w14:paraId="34EE618C" w14:textId="77777777" w:rsidR="00946C51" w:rsidRDefault="00946C51">
            <w:pPr>
              <w:pStyle w:val="last-child"/>
              <w:rPr>
                <w:sz w:val="21"/>
                <w:szCs w:val="21"/>
              </w:rPr>
            </w:pPr>
            <w:r>
              <w:t xml:space="preserve">Direct </w:t>
            </w:r>
            <w:proofErr w:type="spellStart"/>
            <w:r>
              <w:t>reduction</w:t>
            </w:r>
            <w:proofErr w:type="spellEnd"/>
            <w:r>
              <w:t xml:space="preserve"> in BF:</w:t>
            </w:r>
          </w:p>
        </w:tc>
      </w:tr>
      <w:tr w:rsidR="00946C51" w14:paraId="7A3E95FA" w14:textId="77777777" w:rsidTr="00946C51">
        <w:trPr>
          <w:tblCellSpacing w:w="0" w:type="dxa"/>
        </w:trPr>
        <w:tc>
          <w:tcPr>
            <w:tcW w:w="0" w:type="auto"/>
            <w:tcMar>
              <w:top w:w="360" w:type="dxa"/>
              <w:left w:w="720" w:type="dxa"/>
              <w:bottom w:w="0" w:type="dxa"/>
              <w:right w:w="720" w:type="dxa"/>
            </w:tcMar>
            <w:hideMark/>
          </w:tcPr>
          <w:p w14:paraId="676BD4CD" w14:textId="77777777" w:rsidR="00946C51" w:rsidRPr="00946C51" w:rsidRDefault="00946C51">
            <w:pPr>
              <w:pStyle w:val="NormalWeb"/>
              <w:jc w:val="center"/>
              <w:rPr>
                <w:sz w:val="21"/>
                <w:szCs w:val="21"/>
                <w:lang w:val="en-US"/>
              </w:rPr>
            </w:pPr>
            <w:proofErr w:type="spellStart"/>
            <w:r w:rsidRPr="00946C51">
              <w:rPr>
                <w:lang w:val="en-US"/>
              </w:rPr>
              <w:t>FeO</w:t>
            </w:r>
            <w:proofErr w:type="spellEnd"/>
            <w:r w:rsidRPr="00946C51">
              <w:rPr>
                <w:lang w:val="en-US"/>
              </w:rPr>
              <w:t xml:space="preserve"> + CO = Fe + CO2</w:t>
            </w:r>
          </w:p>
          <w:p w14:paraId="2ECFAC0B" w14:textId="77777777" w:rsidR="00946C51" w:rsidRPr="00946C51" w:rsidRDefault="00946C51">
            <w:pPr>
              <w:pStyle w:val="NormalWeb"/>
              <w:jc w:val="center"/>
              <w:rPr>
                <w:sz w:val="21"/>
                <w:szCs w:val="21"/>
                <w:lang w:val="en-US"/>
              </w:rPr>
            </w:pPr>
            <w:r w:rsidRPr="00946C51">
              <w:rPr>
                <w:lang w:val="en-US"/>
              </w:rPr>
              <w:t>CO2 + C = 2 CO</w:t>
            </w:r>
          </w:p>
          <w:p w14:paraId="7007E73A" w14:textId="77777777" w:rsidR="00946C51" w:rsidRDefault="00946C51">
            <w:pPr>
              <w:pStyle w:val="last-child"/>
              <w:jc w:val="center"/>
              <w:rPr>
                <w:sz w:val="21"/>
                <w:szCs w:val="21"/>
              </w:rPr>
            </w:pPr>
            <w:proofErr w:type="spellStart"/>
            <w:r>
              <w:t>FeO</w:t>
            </w:r>
            <w:proofErr w:type="spellEnd"/>
            <w:r>
              <w:t xml:space="preserve"> + C = Fe + CO</w:t>
            </w:r>
          </w:p>
        </w:tc>
      </w:tr>
      <w:tr w:rsidR="00946C51" w:rsidRPr="00946C51" w14:paraId="126DF1B3" w14:textId="77777777" w:rsidTr="00946C51">
        <w:trPr>
          <w:tblCellSpacing w:w="0" w:type="dxa"/>
        </w:trPr>
        <w:tc>
          <w:tcPr>
            <w:tcW w:w="0" w:type="auto"/>
            <w:tcMar>
              <w:top w:w="360" w:type="dxa"/>
              <w:left w:w="720" w:type="dxa"/>
              <w:bottom w:w="0" w:type="dxa"/>
              <w:right w:w="720" w:type="dxa"/>
            </w:tcMar>
            <w:hideMark/>
          </w:tcPr>
          <w:p w14:paraId="4E0C860A" w14:textId="77777777" w:rsidR="00946C51" w:rsidRPr="00946C51" w:rsidRDefault="00946C51" w:rsidP="00946C51">
            <w:pPr>
              <w:pStyle w:val="NormalWeb"/>
              <w:rPr>
                <w:sz w:val="21"/>
                <w:szCs w:val="21"/>
                <w:lang w:val="en-US"/>
              </w:rPr>
            </w:pPr>
            <w:r w:rsidRPr="00946C51">
              <w:rPr>
                <w:rStyle w:val="lev"/>
                <w:lang w:val="en-US"/>
              </w:rPr>
              <w:t>Note</w:t>
            </w:r>
            <w:r w:rsidRPr="00946C51">
              <w:rPr>
                <w:lang w:val="en-US"/>
              </w:rPr>
              <w:t>: actually from top to bottom of the BF, successive reductions from Fe</w:t>
            </w:r>
            <w:r w:rsidRPr="00946C51">
              <w:rPr>
                <w:sz w:val="21"/>
                <w:szCs w:val="21"/>
                <w:lang w:val="en-US"/>
              </w:rPr>
              <w:t>2</w:t>
            </w:r>
            <w:r w:rsidRPr="00946C51">
              <w:rPr>
                <w:lang w:val="en-US"/>
              </w:rPr>
              <w:t>O</w:t>
            </w:r>
            <w:r w:rsidRPr="00946C51">
              <w:rPr>
                <w:sz w:val="21"/>
                <w:szCs w:val="21"/>
                <w:lang w:val="en-US"/>
              </w:rPr>
              <w:t>3</w:t>
            </w:r>
            <w:r w:rsidRPr="00946C51">
              <w:rPr>
                <w:lang w:val="en-US"/>
              </w:rPr>
              <w:t xml:space="preserve"> to Fe</w:t>
            </w:r>
            <w:r w:rsidRPr="00946C51">
              <w:rPr>
                <w:sz w:val="21"/>
                <w:szCs w:val="21"/>
                <w:lang w:val="en-US"/>
              </w:rPr>
              <w:t>3</w:t>
            </w:r>
            <w:r w:rsidRPr="00946C51">
              <w:rPr>
                <w:lang w:val="en-US"/>
              </w:rPr>
              <w:t>O</w:t>
            </w:r>
            <w:r w:rsidRPr="00946C51">
              <w:rPr>
                <w:sz w:val="21"/>
                <w:szCs w:val="21"/>
                <w:lang w:val="en-US"/>
              </w:rPr>
              <w:t>4</w:t>
            </w:r>
            <w:r w:rsidRPr="00946C51">
              <w:rPr>
                <w:lang w:val="en-US"/>
              </w:rPr>
              <w:t>andFeO then to Fe are taking place thanks to CO generated by coke and coal combustion.</w:t>
            </w:r>
          </w:p>
          <w:p w14:paraId="517F0EF7" w14:textId="77777777" w:rsidR="00946C51" w:rsidRPr="00946C51" w:rsidRDefault="00946C51" w:rsidP="00946C51">
            <w:pPr>
              <w:pStyle w:val="NormalWeb"/>
              <w:numPr>
                <w:ilvl w:val="0"/>
                <w:numId w:val="3"/>
              </w:numPr>
              <w:rPr>
                <w:sz w:val="21"/>
                <w:szCs w:val="21"/>
                <w:lang w:val="en-US"/>
              </w:rPr>
            </w:pPr>
            <w:r w:rsidRPr="00946C51">
              <w:rPr>
                <w:lang w:val="en-US"/>
              </w:rPr>
              <w:t>Route c (DRI) currently based on methane (CH</w:t>
            </w:r>
            <w:r w:rsidRPr="00946C51">
              <w:rPr>
                <w:sz w:val="21"/>
                <w:szCs w:val="21"/>
                <w:lang w:val="en-US"/>
              </w:rPr>
              <w:t>4)</w:t>
            </w:r>
            <w:r w:rsidRPr="00946C51">
              <w:rPr>
                <w:lang w:val="en-US"/>
              </w:rPr>
              <w:t xml:space="preserve"> as reductant:</w:t>
            </w:r>
          </w:p>
        </w:tc>
      </w:tr>
      <w:tr w:rsidR="00946C51" w:rsidRPr="00946C51" w14:paraId="4A093D3D" w14:textId="77777777" w:rsidTr="00946C51">
        <w:trPr>
          <w:tblCellSpacing w:w="0" w:type="dxa"/>
        </w:trPr>
        <w:tc>
          <w:tcPr>
            <w:tcW w:w="0" w:type="auto"/>
            <w:tcMar>
              <w:top w:w="360" w:type="dxa"/>
              <w:left w:w="720" w:type="dxa"/>
              <w:bottom w:w="0" w:type="dxa"/>
              <w:right w:w="720" w:type="dxa"/>
            </w:tcMar>
            <w:hideMark/>
          </w:tcPr>
          <w:p w14:paraId="1EDE1CF2" w14:textId="77777777" w:rsidR="00946C51" w:rsidRPr="00946C51" w:rsidRDefault="00946C51">
            <w:pPr>
              <w:pStyle w:val="last-child"/>
              <w:jc w:val="center"/>
              <w:rPr>
                <w:sz w:val="21"/>
                <w:szCs w:val="21"/>
                <w:lang w:val="it-IT"/>
              </w:rPr>
            </w:pPr>
            <w:r w:rsidRPr="00946C51">
              <w:rPr>
                <w:lang w:val="it-IT"/>
              </w:rPr>
              <w:t>Fe</w:t>
            </w:r>
            <w:r w:rsidRPr="00946C51">
              <w:rPr>
                <w:sz w:val="21"/>
                <w:szCs w:val="21"/>
                <w:lang w:val="it-IT"/>
              </w:rPr>
              <w:t>2</w:t>
            </w:r>
            <w:r w:rsidRPr="00946C51">
              <w:rPr>
                <w:lang w:val="it-IT"/>
              </w:rPr>
              <w:t>O</w:t>
            </w:r>
            <w:r w:rsidRPr="00946C51">
              <w:rPr>
                <w:sz w:val="21"/>
                <w:szCs w:val="21"/>
                <w:lang w:val="it-IT"/>
              </w:rPr>
              <w:t>3</w:t>
            </w:r>
            <w:r w:rsidRPr="00946C51">
              <w:rPr>
                <w:lang w:val="it-IT"/>
              </w:rPr>
              <w:t xml:space="preserve"> + ¾ CH</w:t>
            </w:r>
            <w:r w:rsidRPr="00946C51">
              <w:rPr>
                <w:sz w:val="21"/>
                <w:szCs w:val="21"/>
                <w:lang w:val="it-IT"/>
              </w:rPr>
              <w:t>4</w:t>
            </w:r>
            <w:r w:rsidRPr="00946C51">
              <w:rPr>
                <w:lang w:val="it-IT"/>
              </w:rPr>
              <w:t xml:space="preserve"> = 2Fe + ¾ CO</w:t>
            </w:r>
            <w:r w:rsidRPr="00946C51">
              <w:rPr>
                <w:sz w:val="21"/>
                <w:szCs w:val="21"/>
                <w:lang w:val="it-IT"/>
              </w:rPr>
              <w:t>2</w:t>
            </w:r>
            <w:r w:rsidRPr="00946C51">
              <w:rPr>
                <w:lang w:val="it-IT"/>
              </w:rPr>
              <w:t xml:space="preserve">+ </w:t>
            </w:r>
            <w:r w:rsidRPr="00946C51">
              <w:rPr>
                <w:sz w:val="20"/>
                <w:szCs w:val="20"/>
                <w:lang w:val="it-IT"/>
              </w:rPr>
              <w:t>3/2</w:t>
            </w:r>
            <w:r w:rsidRPr="00946C51">
              <w:rPr>
                <w:lang w:val="it-IT"/>
              </w:rPr>
              <w:t xml:space="preserve"> H</w:t>
            </w:r>
            <w:r w:rsidRPr="00946C51">
              <w:rPr>
                <w:sz w:val="21"/>
                <w:szCs w:val="21"/>
                <w:lang w:val="it-IT"/>
              </w:rPr>
              <w:t>2</w:t>
            </w:r>
            <w:r w:rsidRPr="00946C51">
              <w:rPr>
                <w:lang w:val="it-IT"/>
              </w:rPr>
              <w:t>O</w:t>
            </w:r>
          </w:p>
        </w:tc>
      </w:tr>
      <w:tr w:rsidR="00946C51" w:rsidRPr="00946C51" w14:paraId="39452282" w14:textId="77777777" w:rsidTr="00946C51">
        <w:trPr>
          <w:tblCellSpacing w:w="0" w:type="dxa"/>
        </w:trPr>
        <w:tc>
          <w:tcPr>
            <w:tcW w:w="0" w:type="auto"/>
            <w:tcMar>
              <w:top w:w="360" w:type="dxa"/>
              <w:left w:w="720" w:type="dxa"/>
              <w:bottom w:w="0" w:type="dxa"/>
              <w:right w:w="720" w:type="dxa"/>
            </w:tcMar>
            <w:hideMark/>
          </w:tcPr>
          <w:p w14:paraId="5F7F3862" w14:textId="77777777" w:rsidR="00946C51" w:rsidRPr="00946C51" w:rsidRDefault="00946C51" w:rsidP="00946C51">
            <w:pPr>
              <w:pStyle w:val="NormalWeb"/>
              <w:rPr>
                <w:sz w:val="21"/>
                <w:szCs w:val="21"/>
                <w:lang w:val="en-US"/>
              </w:rPr>
            </w:pPr>
            <w:r w:rsidRPr="00946C51">
              <w:rPr>
                <w:lang w:val="en-US"/>
              </w:rPr>
              <w:t>3.2. For route a (BF), the use of hydrogen to replace carbon as reductant would be rather limited to a few % H</w:t>
            </w:r>
            <w:r w:rsidRPr="00946C51">
              <w:rPr>
                <w:sz w:val="21"/>
                <w:szCs w:val="21"/>
                <w:lang w:val="en-US"/>
              </w:rPr>
              <w:t>2</w:t>
            </w:r>
            <w:r w:rsidRPr="00946C51">
              <w:rPr>
                <w:lang w:val="en-US"/>
              </w:rPr>
              <w:t xml:space="preserve"> in the natural gas (up to estimated 30-35 kg H</w:t>
            </w:r>
            <w:r w:rsidRPr="00946C51">
              <w:rPr>
                <w:sz w:val="20"/>
                <w:szCs w:val="20"/>
                <w:lang w:val="en-US"/>
              </w:rPr>
              <w:t>2</w:t>
            </w:r>
            <w:r w:rsidRPr="00946C51">
              <w:rPr>
                <w:lang w:val="en-US"/>
              </w:rPr>
              <w:t>/t hot metal) injected in the tuyeres (mostly to control raceway adiabatic flame temperature (RAFT) and to control H2 content in top gas; the coke rate of a BF is much lower in the operating mode with coal injection than that with natural gas, coke oven gas or oil injection). Basically, coke has to support the massive burden of loaded materials like iron ore lumps, sinter lumps, pellets and coke (bell coke and nut coke) all over the whole height of the furnace body as well as to allow, of course, the above-mentioned solid-gas chemical reactions.</w:t>
            </w:r>
          </w:p>
          <w:p w14:paraId="2EA2DEAB" w14:textId="77777777" w:rsidR="00946C51" w:rsidRPr="00946C51" w:rsidRDefault="00946C51" w:rsidP="00946C51">
            <w:pPr>
              <w:pStyle w:val="last-child"/>
              <w:rPr>
                <w:sz w:val="21"/>
                <w:szCs w:val="21"/>
                <w:lang w:val="en-US"/>
              </w:rPr>
            </w:pPr>
            <w:r w:rsidRPr="00946C51">
              <w:rPr>
                <w:lang w:val="en-US"/>
              </w:rPr>
              <w:t xml:space="preserve">Whereas for route c (DRI), hydrogen could technically replace up to 100% (for metallurgical reasons, however, a bit less than100% should be appropriate to avoid impacting the slag </w:t>
            </w:r>
            <w:proofErr w:type="spellStart"/>
            <w:r w:rsidRPr="00946C51">
              <w:rPr>
                <w:lang w:val="en-US"/>
              </w:rPr>
              <w:t>behaviour</w:t>
            </w:r>
            <w:proofErr w:type="spellEnd"/>
            <w:r w:rsidRPr="00946C51">
              <w:rPr>
                <w:lang w:val="en-US"/>
              </w:rPr>
              <w:t xml:space="preserve"> in EAF) on the basis of the following chemical reaction:</w:t>
            </w:r>
          </w:p>
        </w:tc>
      </w:tr>
      <w:tr w:rsidR="00946C51" w14:paraId="2197534F" w14:textId="77777777" w:rsidTr="00946C51">
        <w:trPr>
          <w:tblCellSpacing w:w="0" w:type="dxa"/>
        </w:trPr>
        <w:tc>
          <w:tcPr>
            <w:tcW w:w="0" w:type="auto"/>
            <w:tcMar>
              <w:top w:w="360" w:type="dxa"/>
              <w:left w:w="720" w:type="dxa"/>
              <w:bottom w:w="0" w:type="dxa"/>
              <w:right w:w="720" w:type="dxa"/>
            </w:tcMar>
            <w:hideMark/>
          </w:tcPr>
          <w:p w14:paraId="2C49ADA5" w14:textId="77777777" w:rsidR="00946C51" w:rsidRDefault="00946C51">
            <w:pPr>
              <w:pStyle w:val="last-child"/>
              <w:jc w:val="center"/>
              <w:rPr>
                <w:sz w:val="21"/>
                <w:szCs w:val="21"/>
              </w:rPr>
            </w:pPr>
            <w:r>
              <w:lastRenderedPageBreak/>
              <w:t>Fe</w:t>
            </w:r>
            <w:r>
              <w:rPr>
                <w:sz w:val="21"/>
                <w:szCs w:val="21"/>
              </w:rPr>
              <w:t>2</w:t>
            </w:r>
            <w:r>
              <w:t>O</w:t>
            </w:r>
            <w:r>
              <w:rPr>
                <w:sz w:val="21"/>
                <w:szCs w:val="21"/>
              </w:rPr>
              <w:t>3</w:t>
            </w:r>
            <w:r>
              <w:t xml:space="preserve"> + 3H</w:t>
            </w:r>
            <w:r>
              <w:rPr>
                <w:sz w:val="21"/>
                <w:szCs w:val="21"/>
              </w:rPr>
              <w:t>2</w:t>
            </w:r>
            <w:r>
              <w:t xml:space="preserve"> = 2 Fe + 3H</w:t>
            </w:r>
            <w:r>
              <w:rPr>
                <w:sz w:val="21"/>
                <w:szCs w:val="21"/>
              </w:rPr>
              <w:t>2</w:t>
            </w:r>
            <w:r>
              <w:t>O</w:t>
            </w:r>
          </w:p>
        </w:tc>
      </w:tr>
      <w:tr w:rsidR="00946C51" w:rsidRPr="00946C51" w14:paraId="3A8DAE0C" w14:textId="77777777" w:rsidTr="00946C51">
        <w:trPr>
          <w:tblCellSpacing w:w="0" w:type="dxa"/>
        </w:trPr>
        <w:tc>
          <w:tcPr>
            <w:tcW w:w="0" w:type="auto"/>
            <w:tcMar>
              <w:top w:w="360" w:type="dxa"/>
              <w:left w:w="720" w:type="dxa"/>
              <w:bottom w:w="0" w:type="dxa"/>
              <w:right w:w="720" w:type="dxa"/>
            </w:tcMar>
            <w:hideMark/>
          </w:tcPr>
          <w:p w14:paraId="4563B24D" w14:textId="77777777" w:rsidR="00946C51" w:rsidRPr="00946C51" w:rsidRDefault="00946C51" w:rsidP="00946C51">
            <w:pPr>
              <w:pStyle w:val="NormalWeb"/>
              <w:rPr>
                <w:sz w:val="21"/>
                <w:szCs w:val="21"/>
                <w:lang w:val="en-US"/>
              </w:rPr>
            </w:pPr>
            <w:r w:rsidRPr="00946C51">
              <w:rPr>
                <w:lang w:val="en-US"/>
              </w:rPr>
              <w:t>Such a reaction would take place at very high temperature (above 1,000 °C) in a vertical shaft furnace charged with iron ore green pellets or lump ores.</w:t>
            </w:r>
          </w:p>
          <w:p w14:paraId="1CBBFB15" w14:textId="77777777" w:rsidR="00946C51" w:rsidRPr="00946C51" w:rsidRDefault="00946C51" w:rsidP="00946C51">
            <w:pPr>
              <w:pStyle w:val="NormalWeb"/>
              <w:rPr>
                <w:sz w:val="21"/>
                <w:szCs w:val="21"/>
                <w:lang w:val="en-US"/>
              </w:rPr>
            </w:pPr>
            <w:r w:rsidRPr="00946C51">
              <w:rPr>
                <w:lang w:val="en-US"/>
              </w:rPr>
              <w:t xml:space="preserve">3.3 By comparing the two above routes, it appears that the DRI route would offer more potential for the use of hydrogen as reductant than the BF route. Besides, the DRI route with hydrogen would match the so-called CDA technological EU objective (CDA stands for </w:t>
            </w:r>
            <w:r w:rsidRPr="00946C51">
              <w:rPr>
                <w:rStyle w:val="Accentuation"/>
                <w:lang w:val="en-US"/>
              </w:rPr>
              <w:t>Carbon Direct Avoidance</w:t>
            </w:r>
            <w:r w:rsidRPr="00946C51">
              <w:rPr>
                <w:lang w:val="en-US"/>
              </w:rPr>
              <w:t>), which will introduce the next considerations.</w:t>
            </w:r>
          </w:p>
          <w:p w14:paraId="729C1690" w14:textId="77777777" w:rsidR="00946C51" w:rsidRPr="00946C51" w:rsidRDefault="00946C51" w:rsidP="00946C51">
            <w:pPr>
              <w:pStyle w:val="Titre3"/>
              <w:rPr>
                <w:sz w:val="27"/>
                <w:szCs w:val="27"/>
                <w:lang w:val="en-US"/>
              </w:rPr>
            </w:pPr>
            <w:r w:rsidRPr="00946C51">
              <w:rPr>
                <w:rStyle w:val="Accentuation"/>
                <w:lang w:val="en-US"/>
              </w:rPr>
              <w:t>The EU Decarbonation Challenge imposed to the Steel Industry</w:t>
            </w:r>
          </w:p>
          <w:p w14:paraId="691A8C85" w14:textId="77777777" w:rsidR="00946C51" w:rsidRPr="00946C51" w:rsidRDefault="00946C51" w:rsidP="00946C51">
            <w:pPr>
              <w:pStyle w:val="last-child"/>
              <w:rPr>
                <w:sz w:val="21"/>
                <w:szCs w:val="21"/>
                <w:lang w:val="en-US"/>
              </w:rPr>
            </w:pPr>
            <w:r w:rsidRPr="00946C51">
              <w:rPr>
                <w:lang w:val="en-US"/>
              </w:rPr>
              <w:t>4. As the EU Commission has decided to take the lead in the decarbonation challenge (although EU only represents around 9–10% of the global world CO</w:t>
            </w:r>
            <w:r w:rsidRPr="00946C51">
              <w:rPr>
                <w:sz w:val="21"/>
                <w:szCs w:val="21"/>
                <w:lang w:val="en-US"/>
              </w:rPr>
              <w:t>2</w:t>
            </w:r>
            <w:r w:rsidRPr="00946C51">
              <w:rPr>
                <w:lang w:val="en-US"/>
              </w:rPr>
              <w:t xml:space="preserve"> emissions), very ambitious targets have been defined for the EU steel industry which can be </w:t>
            </w:r>
            <w:proofErr w:type="spellStart"/>
            <w:r w:rsidRPr="00946C51">
              <w:rPr>
                <w:lang w:val="en-US"/>
              </w:rPr>
              <w:t>summarised</w:t>
            </w:r>
            <w:proofErr w:type="spellEnd"/>
            <w:r w:rsidRPr="00946C51">
              <w:rPr>
                <w:lang w:val="en-US"/>
              </w:rPr>
              <w:t xml:space="preserve"> as follows: the total CO</w:t>
            </w:r>
            <w:r w:rsidRPr="00946C51">
              <w:rPr>
                <w:sz w:val="21"/>
                <w:szCs w:val="21"/>
                <w:lang w:val="en-US"/>
              </w:rPr>
              <w:t>2</w:t>
            </w:r>
            <w:r w:rsidRPr="00946C51">
              <w:rPr>
                <w:lang w:val="en-US"/>
              </w:rPr>
              <w:t>emissions of the steel industry should be reduced from 298 Million tons CO</w:t>
            </w:r>
            <w:r w:rsidRPr="00946C51">
              <w:rPr>
                <w:sz w:val="21"/>
                <w:szCs w:val="21"/>
                <w:lang w:val="en-US"/>
              </w:rPr>
              <w:t>2</w:t>
            </w:r>
            <w:r w:rsidRPr="00946C51">
              <w:rPr>
                <w:lang w:val="en-US"/>
              </w:rPr>
              <w:t>in 1990 down to respectively 60 Million tons CO2 by 2050 for an 80% mitigation level and 15 Million tons CO</w:t>
            </w:r>
            <w:r w:rsidRPr="00946C51">
              <w:rPr>
                <w:sz w:val="21"/>
                <w:szCs w:val="21"/>
                <w:lang w:val="en-US"/>
              </w:rPr>
              <w:t>2</w:t>
            </w:r>
            <w:r w:rsidRPr="00946C51">
              <w:rPr>
                <w:lang w:val="en-US"/>
              </w:rPr>
              <w:t xml:space="preserve"> by 2050 for a 95% mitigation level. For this estimate, it is assumed that the total EU steel production will stay at the 2015 level, i.e. 166 Million tons/y. This scenario will be a huge step to get over.</w:t>
            </w:r>
          </w:p>
        </w:tc>
      </w:tr>
      <w:tr w:rsidR="00946C51" w14:paraId="7F6291D8" w14:textId="77777777" w:rsidTr="00946C51">
        <w:trPr>
          <w:tblCellSpacing w:w="0" w:type="dxa"/>
        </w:trPr>
        <w:tc>
          <w:tcPr>
            <w:tcW w:w="0" w:type="auto"/>
            <w:tcMar>
              <w:top w:w="360" w:type="dxa"/>
              <w:left w:w="720" w:type="dxa"/>
              <w:bottom w:w="0" w:type="dxa"/>
              <w:right w:w="720" w:type="dxa"/>
            </w:tcMar>
            <w:hideMark/>
          </w:tcPr>
          <w:p w14:paraId="685AD321" w14:textId="4EF6C69F" w:rsidR="00946C51" w:rsidRDefault="00946C51">
            <w:pPr>
              <w:jc w:val="center"/>
              <w:rPr>
                <w:sz w:val="24"/>
                <w:szCs w:val="24"/>
              </w:rPr>
            </w:pPr>
            <w:r>
              <w:rPr>
                <w:noProof/>
              </w:rPr>
              <w:drawing>
                <wp:inline distT="0" distB="0" distL="0" distR="0" wp14:anchorId="26B7A0ED" wp14:editId="6113C844">
                  <wp:extent cx="5372100" cy="3581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r w:rsidR="00946C51" w:rsidRPr="00946C51" w14:paraId="2DF07034" w14:textId="77777777" w:rsidTr="00946C51">
        <w:trPr>
          <w:tblCellSpacing w:w="0" w:type="dxa"/>
        </w:trPr>
        <w:tc>
          <w:tcPr>
            <w:tcW w:w="0" w:type="auto"/>
            <w:tcMar>
              <w:top w:w="360" w:type="dxa"/>
              <w:left w:w="720" w:type="dxa"/>
              <w:bottom w:w="0" w:type="dxa"/>
              <w:right w:w="720" w:type="dxa"/>
            </w:tcMar>
            <w:hideMark/>
          </w:tcPr>
          <w:p w14:paraId="03820B27" w14:textId="77777777" w:rsidR="00946C51" w:rsidRPr="00946C51" w:rsidRDefault="00946C51" w:rsidP="00946C51">
            <w:pPr>
              <w:pStyle w:val="Titre3"/>
              <w:rPr>
                <w:lang w:val="en-US"/>
              </w:rPr>
            </w:pPr>
            <w:r w:rsidRPr="00946C51">
              <w:rPr>
                <w:rStyle w:val="Accentuation"/>
                <w:lang w:val="en-US"/>
              </w:rPr>
              <w:lastRenderedPageBreak/>
              <w:t>Industrial Demonstration Projects funded by EU</w:t>
            </w:r>
          </w:p>
          <w:p w14:paraId="2EF27810" w14:textId="77777777" w:rsidR="00946C51" w:rsidRPr="00946C51" w:rsidRDefault="00946C51" w:rsidP="00946C51">
            <w:pPr>
              <w:pStyle w:val="NormalWeb"/>
              <w:rPr>
                <w:sz w:val="21"/>
                <w:szCs w:val="21"/>
                <w:lang w:val="en-US"/>
              </w:rPr>
            </w:pPr>
            <w:r w:rsidRPr="00946C51">
              <w:rPr>
                <w:lang w:val="en-US"/>
              </w:rPr>
              <w:t xml:space="preserve">5.1. Consequently, it is not surprising that several demonstration projects have been recently started in the steel industry with EU financial funding in the frame of the so-called </w:t>
            </w:r>
            <w:r w:rsidRPr="00946C51">
              <w:rPr>
                <w:rStyle w:val="Accentuation"/>
                <w:lang w:val="en-US"/>
              </w:rPr>
              <w:t>Smart Carbon Usage</w:t>
            </w:r>
            <w:r w:rsidRPr="00946C51">
              <w:rPr>
                <w:lang w:val="en-US"/>
              </w:rPr>
              <w:t xml:space="preserve"> (SCU) and </w:t>
            </w:r>
            <w:r w:rsidRPr="00946C51">
              <w:rPr>
                <w:rStyle w:val="Accentuation"/>
                <w:lang w:val="en-US"/>
              </w:rPr>
              <w:t>Carbon Direct Avoidance</w:t>
            </w:r>
            <w:r w:rsidRPr="00946C51">
              <w:rPr>
                <w:lang w:val="en-US"/>
              </w:rPr>
              <w:t xml:space="preserve"> (CDA) technologies.</w:t>
            </w:r>
          </w:p>
          <w:p w14:paraId="26F4CDB0" w14:textId="77777777" w:rsidR="00946C51" w:rsidRPr="00946C51" w:rsidRDefault="00946C51" w:rsidP="00946C51">
            <w:pPr>
              <w:pStyle w:val="NormalWeb"/>
              <w:rPr>
                <w:sz w:val="21"/>
                <w:szCs w:val="21"/>
                <w:lang w:val="en-US"/>
              </w:rPr>
            </w:pPr>
            <w:r w:rsidRPr="00946C51">
              <w:rPr>
                <w:lang w:val="en-US"/>
              </w:rPr>
              <w:t>These technologies are key options to achieve the CO2 mitigation of the EU steel industry. More precisely, SCU includes the so-called CCS (Carbon Capture &amp; Storage) and the CCU (Carbon Capture &amp; Usage) technologies. CDA actually concerns the route b (scrap-based EAF) and the route c (DRI+EAF) as previously mentioned.</w:t>
            </w:r>
          </w:p>
          <w:p w14:paraId="1883A48B" w14:textId="77777777" w:rsidR="00946C51" w:rsidRPr="00946C51" w:rsidRDefault="00946C51" w:rsidP="00946C51">
            <w:pPr>
              <w:pStyle w:val="NormalWeb"/>
              <w:rPr>
                <w:sz w:val="21"/>
                <w:szCs w:val="21"/>
                <w:lang w:val="en-US"/>
              </w:rPr>
            </w:pPr>
            <w:r w:rsidRPr="00946C51">
              <w:rPr>
                <w:lang w:val="en-US"/>
              </w:rPr>
              <w:t>The demonstration industrial projects concern the following steel companies:</w:t>
            </w:r>
          </w:p>
          <w:p w14:paraId="0D4C268A" w14:textId="77777777" w:rsidR="00946C51" w:rsidRDefault="00946C51" w:rsidP="00946C51">
            <w:pPr>
              <w:pStyle w:val="NormalWeb"/>
              <w:numPr>
                <w:ilvl w:val="0"/>
                <w:numId w:val="4"/>
              </w:numPr>
              <w:rPr>
                <w:sz w:val="21"/>
                <w:szCs w:val="21"/>
              </w:rPr>
            </w:pPr>
            <w:r>
              <w:t xml:space="preserve">BF route: </w:t>
            </w:r>
            <w:r>
              <w:rPr>
                <w:rStyle w:val="Accentuation"/>
              </w:rPr>
              <w:t xml:space="preserve">ThyssenKrupp </w:t>
            </w:r>
            <w:r>
              <w:t xml:space="preserve">(D) </w:t>
            </w:r>
          </w:p>
          <w:p w14:paraId="3D6F3EE5" w14:textId="77777777" w:rsidR="00946C51" w:rsidRDefault="00946C51" w:rsidP="00946C51">
            <w:pPr>
              <w:pStyle w:val="NormalWeb"/>
              <w:numPr>
                <w:ilvl w:val="0"/>
                <w:numId w:val="4"/>
              </w:numPr>
              <w:rPr>
                <w:sz w:val="21"/>
                <w:szCs w:val="21"/>
              </w:rPr>
            </w:pPr>
            <w:r>
              <w:t xml:space="preserve">DRI route : AG der Dillinger </w:t>
            </w:r>
            <w:proofErr w:type="spellStart"/>
            <w:r>
              <w:t>Hüttenwerke</w:t>
            </w:r>
            <w:proofErr w:type="spellEnd"/>
            <w:r>
              <w:t xml:space="preserve"> (D), ArcelorMittal </w:t>
            </w:r>
            <w:proofErr w:type="spellStart"/>
            <w:r>
              <w:t>Hamburg</w:t>
            </w:r>
            <w:proofErr w:type="spellEnd"/>
            <w:r>
              <w:t xml:space="preserve"> (D), ThyssenKrupp (D), Salzgitter (D) and SSAB/LKB (SE)</w:t>
            </w:r>
          </w:p>
          <w:p w14:paraId="6FCCAAF5" w14:textId="77777777" w:rsidR="00946C51" w:rsidRPr="00946C51" w:rsidRDefault="00946C51" w:rsidP="00946C51">
            <w:pPr>
              <w:pStyle w:val="NormalWeb"/>
              <w:rPr>
                <w:sz w:val="21"/>
                <w:szCs w:val="21"/>
                <w:lang w:val="en-US"/>
              </w:rPr>
            </w:pPr>
            <w:r w:rsidRPr="00946C51">
              <w:rPr>
                <w:rStyle w:val="lev"/>
                <w:lang w:val="en-US"/>
              </w:rPr>
              <w:t>Note</w:t>
            </w:r>
            <w:r w:rsidRPr="00946C51">
              <w:rPr>
                <w:lang w:val="en-US"/>
              </w:rPr>
              <w:t xml:space="preserve">: for Smart Carbon Usage, other Demo projects are ongoing respectively at </w:t>
            </w:r>
            <w:r w:rsidRPr="00946C51">
              <w:rPr>
                <w:rStyle w:val="Accentuation"/>
                <w:lang w:val="en-US"/>
              </w:rPr>
              <w:t xml:space="preserve">ThyssenKrupp </w:t>
            </w:r>
            <w:r w:rsidRPr="00946C51">
              <w:rPr>
                <w:lang w:val="en-US"/>
              </w:rPr>
              <w:t xml:space="preserve">with carbon2chem and ArcelorMittal with </w:t>
            </w:r>
            <w:proofErr w:type="spellStart"/>
            <w:r w:rsidRPr="00946C51">
              <w:rPr>
                <w:lang w:val="en-US"/>
              </w:rPr>
              <w:t>Igar</w:t>
            </w:r>
            <w:proofErr w:type="spellEnd"/>
            <w:r w:rsidRPr="00946C51">
              <w:rPr>
                <w:lang w:val="en-US"/>
              </w:rPr>
              <w:t>/</w:t>
            </w:r>
            <w:proofErr w:type="spellStart"/>
            <w:r w:rsidRPr="00946C51">
              <w:rPr>
                <w:lang w:val="en-US"/>
              </w:rPr>
              <w:t>Steelanol</w:t>
            </w:r>
            <w:proofErr w:type="spellEnd"/>
            <w:r w:rsidRPr="00946C51">
              <w:rPr>
                <w:lang w:val="en-US"/>
              </w:rPr>
              <w:t xml:space="preserve"> : carbon2chem needs huge amounts of H2 </w:t>
            </w:r>
            <w:r w:rsidRPr="00946C51">
              <w:rPr>
                <w:sz w:val="21"/>
                <w:szCs w:val="21"/>
                <w:lang w:val="en-US"/>
              </w:rPr>
              <w:t xml:space="preserve">(110 kg/ton CS) </w:t>
            </w:r>
            <w:r w:rsidRPr="00946C51">
              <w:rPr>
                <w:lang w:val="en-US"/>
              </w:rPr>
              <w:t xml:space="preserve">besides the 10 kg coming from the process gases, while </w:t>
            </w:r>
            <w:proofErr w:type="spellStart"/>
            <w:r w:rsidRPr="00946C51">
              <w:rPr>
                <w:lang w:val="en-US"/>
              </w:rPr>
              <w:t>Igar</w:t>
            </w:r>
            <w:proofErr w:type="spellEnd"/>
            <w:r w:rsidRPr="00946C51">
              <w:rPr>
                <w:lang w:val="en-US"/>
              </w:rPr>
              <w:t>/</w:t>
            </w:r>
            <w:proofErr w:type="spellStart"/>
            <w:r w:rsidRPr="00946C51">
              <w:rPr>
                <w:lang w:val="en-US"/>
              </w:rPr>
              <w:t>Steelanol</w:t>
            </w:r>
            <w:proofErr w:type="spellEnd"/>
            <w:r w:rsidRPr="00946C51">
              <w:rPr>
                <w:lang w:val="en-US"/>
              </w:rPr>
              <w:t xml:space="preserve"> requests ca 60 kg H2 /ton hot metal to produce the amount of ethanol.</w:t>
            </w:r>
          </w:p>
          <w:p w14:paraId="19C77C0E" w14:textId="77777777" w:rsidR="00946C51" w:rsidRPr="00946C51" w:rsidRDefault="00946C51" w:rsidP="00946C51">
            <w:pPr>
              <w:pStyle w:val="NormalWeb"/>
              <w:rPr>
                <w:sz w:val="21"/>
                <w:szCs w:val="21"/>
                <w:lang w:val="en-US"/>
              </w:rPr>
            </w:pPr>
            <w:r w:rsidRPr="00946C51">
              <w:rPr>
                <w:lang w:val="en-US"/>
              </w:rPr>
              <w:t>5.2. As it appears, most of them are located in Germany which for years has been seeking a very exclusive and expensive development of renewable energy sources (</w:t>
            </w:r>
            <w:proofErr w:type="spellStart"/>
            <w:r w:rsidRPr="00946C51">
              <w:rPr>
                <w:lang w:val="en-US"/>
              </w:rPr>
              <w:t>wind+solar</w:t>
            </w:r>
            <w:proofErr w:type="spellEnd"/>
            <w:r w:rsidRPr="00946C51">
              <w:rPr>
                <w:lang w:val="en-US"/>
              </w:rPr>
              <w:t>) with lignite/coal/gas power plants(as back-up) for electricity generation.</w:t>
            </w:r>
          </w:p>
          <w:p w14:paraId="14EEF317" w14:textId="77777777" w:rsidR="00946C51" w:rsidRPr="00946C51" w:rsidRDefault="00946C51" w:rsidP="00946C51">
            <w:pPr>
              <w:pStyle w:val="Titre3"/>
              <w:rPr>
                <w:sz w:val="27"/>
                <w:szCs w:val="27"/>
                <w:lang w:val="en-US"/>
              </w:rPr>
            </w:pPr>
            <w:r w:rsidRPr="00946C51">
              <w:rPr>
                <w:rStyle w:val="Accentuation"/>
                <w:lang w:val="en-US"/>
              </w:rPr>
              <w:t>Substantial Consequences in case of Scale-up of existing or new Steel Plants</w:t>
            </w:r>
          </w:p>
        </w:tc>
      </w:tr>
      <w:tr w:rsidR="00946C51" w14:paraId="263EDE32" w14:textId="77777777" w:rsidTr="00946C51">
        <w:trPr>
          <w:tblCellSpacing w:w="0" w:type="dxa"/>
        </w:trPr>
        <w:tc>
          <w:tcPr>
            <w:tcW w:w="0" w:type="auto"/>
            <w:tcMar>
              <w:top w:w="360" w:type="dxa"/>
              <w:left w:w="720" w:type="dxa"/>
              <w:bottom w:w="0" w:type="dxa"/>
              <w:right w:w="720" w:type="dxa"/>
            </w:tcMar>
            <w:hideMark/>
          </w:tcPr>
          <w:p w14:paraId="7C0D533A" w14:textId="522C1AD9" w:rsidR="00946C51" w:rsidRDefault="00946C51">
            <w:pPr>
              <w:jc w:val="center"/>
            </w:pPr>
            <w:r>
              <w:rPr>
                <w:noProof/>
              </w:rPr>
              <w:lastRenderedPageBreak/>
              <w:drawing>
                <wp:inline distT="0" distB="0" distL="0" distR="0" wp14:anchorId="6DA567C1" wp14:editId="2EBADFE5">
                  <wp:extent cx="5372100" cy="80619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8061960"/>
                          </a:xfrm>
                          <a:prstGeom prst="rect">
                            <a:avLst/>
                          </a:prstGeom>
                          <a:noFill/>
                          <a:ln>
                            <a:noFill/>
                          </a:ln>
                        </pic:spPr>
                      </pic:pic>
                    </a:graphicData>
                  </a:graphic>
                </wp:inline>
              </w:drawing>
            </w:r>
          </w:p>
        </w:tc>
      </w:tr>
      <w:tr w:rsidR="00946C51" w14:paraId="6EF62518" w14:textId="77777777" w:rsidTr="00946C51">
        <w:trPr>
          <w:tblCellSpacing w:w="0" w:type="dxa"/>
        </w:trPr>
        <w:tc>
          <w:tcPr>
            <w:tcW w:w="0" w:type="auto"/>
            <w:tcMar>
              <w:top w:w="360" w:type="dxa"/>
              <w:left w:w="720" w:type="dxa"/>
              <w:bottom w:w="0" w:type="dxa"/>
              <w:right w:w="720" w:type="dxa"/>
            </w:tcMar>
            <w:hideMark/>
          </w:tcPr>
          <w:p w14:paraId="54DEDD09" w14:textId="77777777" w:rsidR="00946C51" w:rsidRPr="00946C51" w:rsidRDefault="00946C51" w:rsidP="00946C51">
            <w:pPr>
              <w:pStyle w:val="NormalWeb"/>
              <w:rPr>
                <w:sz w:val="21"/>
                <w:szCs w:val="21"/>
                <w:lang w:val="en-US"/>
              </w:rPr>
            </w:pPr>
            <w:r w:rsidRPr="00946C51">
              <w:rPr>
                <w:sz w:val="21"/>
                <w:szCs w:val="21"/>
                <w:lang w:val="en-US"/>
              </w:rPr>
              <w:lastRenderedPageBreak/>
              <w:t>7.1. For conclusion purposes, the following question could be addressed, i.e.: would such a huge breakthrough technological scenario make sense to achieve a clean steel industry?</w:t>
            </w:r>
          </w:p>
          <w:p w14:paraId="04D276F1" w14:textId="77777777" w:rsidR="00946C51" w:rsidRDefault="00946C51" w:rsidP="00946C51">
            <w:pPr>
              <w:pStyle w:val="NormalWeb"/>
              <w:rPr>
                <w:sz w:val="21"/>
                <w:szCs w:val="21"/>
              </w:rPr>
            </w:pPr>
            <w:r>
              <w:rPr>
                <w:sz w:val="21"/>
                <w:szCs w:val="21"/>
              </w:rPr>
              <w:t xml:space="preserve">More </w:t>
            </w:r>
            <w:proofErr w:type="spellStart"/>
            <w:r>
              <w:rPr>
                <w:sz w:val="21"/>
                <w:szCs w:val="21"/>
              </w:rPr>
              <w:t>specifically</w:t>
            </w:r>
            <w:proofErr w:type="spellEnd"/>
            <w:r>
              <w:rPr>
                <w:sz w:val="21"/>
                <w:szCs w:val="21"/>
              </w:rPr>
              <w:t>:</w:t>
            </w:r>
          </w:p>
          <w:p w14:paraId="1929B8C5" w14:textId="77777777" w:rsidR="00946C51" w:rsidRPr="00946C51" w:rsidRDefault="00946C51" w:rsidP="00946C51">
            <w:pPr>
              <w:pStyle w:val="NormalWeb"/>
              <w:numPr>
                <w:ilvl w:val="0"/>
                <w:numId w:val="5"/>
              </w:numPr>
              <w:rPr>
                <w:sz w:val="21"/>
                <w:szCs w:val="21"/>
                <w:lang w:val="en-US"/>
              </w:rPr>
            </w:pPr>
            <w:r w:rsidRPr="00946C51">
              <w:rPr>
                <w:sz w:val="21"/>
                <w:szCs w:val="21"/>
                <w:lang w:val="en-US"/>
              </w:rPr>
              <w:t xml:space="preserve">Would it be technically appropriate and financially/economically affordable for the steel industry without massive EU funding? Indeed, besides the high operating costs (OPEX), the investment costs (CAPEX) for such a breakthrough technological change would be tremendous and much time would be required for such a transition to take place in the steel industry. </w:t>
            </w:r>
            <w:r w:rsidRPr="00946C51">
              <w:rPr>
                <w:sz w:val="21"/>
                <w:szCs w:val="21"/>
                <w:lang w:val="en-US"/>
              </w:rPr>
              <w:br/>
            </w:r>
            <w:r w:rsidRPr="00946C51">
              <w:rPr>
                <w:sz w:val="21"/>
                <w:szCs w:val="21"/>
                <w:lang w:val="en-US"/>
              </w:rPr>
              <w:br/>
            </w:r>
            <w:r w:rsidRPr="00946C51">
              <w:rPr>
                <w:rStyle w:val="lev"/>
                <w:sz w:val="21"/>
                <w:szCs w:val="21"/>
                <w:lang w:val="en-US"/>
              </w:rPr>
              <w:t xml:space="preserve">Note </w:t>
            </w:r>
            <w:r w:rsidRPr="00946C51">
              <w:rPr>
                <w:sz w:val="21"/>
                <w:szCs w:val="21"/>
                <w:lang w:val="en-US"/>
              </w:rPr>
              <w:t>: if EU funding could be justified for R&amp;D purposes for elaborating and testing such demo plants, any EU funding, however, contributing to the capital costs for building a brand new DRI/EAF plant as well as to the operating costs related to green hydrogen as feedstock would not be acceptable according to the EU regulations and the free trade obligations (EU TFEU articles 107(1) &amp; 107(3)).</w:t>
            </w:r>
          </w:p>
          <w:p w14:paraId="70A22066" w14:textId="77777777" w:rsidR="00946C51" w:rsidRPr="00946C51" w:rsidRDefault="00946C51" w:rsidP="00946C51">
            <w:pPr>
              <w:pStyle w:val="NormalWeb"/>
              <w:numPr>
                <w:ilvl w:val="0"/>
                <w:numId w:val="6"/>
              </w:numPr>
              <w:rPr>
                <w:sz w:val="21"/>
                <w:szCs w:val="21"/>
                <w:lang w:val="en-US"/>
              </w:rPr>
            </w:pPr>
            <w:r w:rsidRPr="00946C51">
              <w:rPr>
                <w:sz w:val="21"/>
                <w:szCs w:val="21"/>
                <w:lang w:val="en-US"/>
              </w:rPr>
              <w:t xml:space="preserve">Are renewables the best suited energy source to produce huge amounts of green hydrogen for switching towards the DRI/EAF route with green hydrogen? </w:t>
            </w:r>
            <w:r w:rsidRPr="00946C51">
              <w:rPr>
                <w:sz w:val="21"/>
                <w:szCs w:val="21"/>
                <w:lang w:val="en-US"/>
              </w:rPr>
              <w:br/>
            </w:r>
            <w:r w:rsidRPr="00946C51">
              <w:rPr>
                <w:sz w:val="21"/>
                <w:szCs w:val="21"/>
                <w:lang w:val="en-US"/>
              </w:rPr>
              <w:br/>
            </w:r>
            <w:r w:rsidRPr="00946C51">
              <w:rPr>
                <w:rStyle w:val="lev"/>
                <w:sz w:val="21"/>
                <w:szCs w:val="21"/>
                <w:lang w:val="en-US"/>
              </w:rPr>
              <w:t>Note</w:t>
            </w:r>
            <w:r w:rsidRPr="00946C51">
              <w:rPr>
                <w:sz w:val="21"/>
                <w:szCs w:val="21"/>
                <w:lang w:val="en-US"/>
              </w:rPr>
              <w:t xml:space="preserve">: while EAF’s are rather flexible processes allowing load shedding services to the grid, the DRI process is a baseload process that must run 24/7 and hence, be </w:t>
            </w:r>
            <w:proofErr w:type="spellStart"/>
            <w:r w:rsidRPr="00946C51">
              <w:rPr>
                <w:sz w:val="21"/>
                <w:szCs w:val="21"/>
                <w:lang w:val="en-US"/>
              </w:rPr>
              <w:t>fuelled</w:t>
            </w:r>
            <w:proofErr w:type="spellEnd"/>
            <w:r w:rsidRPr="00946C51">
              <w:rPr>
                <w:sz w:val="21"/>
                <w:szCs w:val="21"/>
                <w:lang w:val="en-US"/>
              </w:rPr>
              <w:t xml:space="preserve"> with a continuous flow of hydrogen.</w:t>
            </w:r>
          </w:p>
          <w:p w14:paraId="16C1EA29" w14:textId="77777777" w:rsidR="00946C51" w:rsidRPr="00946C51" w:rsidRDefault="00946C51" w:rsidP="00946C51">
            <w:pPr>
              <w:pStyle w:val="NormalWeb"/>
              <w:rPr>
                <w:sz w:val="21"/>
                <w:szCs w:val="21"/>
                <w:lang w:val="en-US"/>
              </w:rPr>
            </w:pPr>
            <w:r w:rsidRPr="00946C51">
              <w:rPr>
                <w:sz w:val="21"/>
                <w:szCs w:val="21"/>
                <w:lang w:val="en-US"/>
              </w:rPr>
              <w:t>Therefore, two solutions are: (1) to overdesign the electricity production with massive hydrogen storage capacity (with the associated consequence on hydrogen cost) or (2) to build gas power plants to compensate for solar &amp; wind intermittency (with the associated increase in CO2 emissions).</w:t>
            </w:r>
          </w:p>
          <w:p w14:paraId="2840D92C" w14:textId="77777777" w:rsidR="00946C51" w:rsidRPr="00946C51" w:rsidRDefault="00946C51" w:rsidP="00946C51">
            <w:pPr>
              <w:pStyle w:val="NormalWeb"/>
              <w:rPr>
                <w:sz w:val="21"/>
                <w:szCs w:val="21"/>
                <w:lang w:val="en-US"/>
              </w:rPr>
            </w:pPr>
            <w:r w:rsidRPr="00946C51">
              <w:rPr>
                <w:sz w:val="21"/>
                <w:szCs w:val="21"/>
                <w:lang w:val="en-US"/>
              </w:rPr>
              <w:t xml:space="preserve">7.2. As an </w:t>
            </w:r>
            <w:r w:rsidRPr="00946C51">
              <w:rPr>
                <w:rStyle w:val="lev"/>
                <w:sz w:val="21"/>
                <w:szCs w:val="21"/>
                <w:lang w:val="en-US"/>
              </w:rPr>
              <w:t>alternative scenario</w:t>
            </w:r>
            <w:r w:rsidRPr="00946C51">
              <w:rPr>
                <w:sz w:val="21"/>
                <w:szCs w:val="21"/>
                <w:lang w:val="en-US"/>
              </w:rPr>
              <w:t xml:space="preserve"> to the requested huge green hydrogen production, would it not be more relevant to envisage producing large amounts of green hydrogen – without the intermittency issue – through a nuclear-based approach. Indeed, water steam pyrolysis could be provided by </w:t>
            </w:r>
            <w:r w:rsidRPr="00946C51">
              <w:rPr>
                <w:rStyle w:val="lev"/>
                <w:sz w:val="21"/>
                <w:szCs w:val="21"/>
                <w:lang w:val="en-US"/>
              </w:rPr>
              <w:t>advanced high temperature gas cooled nuclear reactors</w:t>
            </w:r>
            <w:r w:rsidRPr="00946C51">
              <w:rPr>
                <w:sz w:val="21"/>
                <w:szCs w:val="21"/>
                <w:lang w:val="en-US"/>
              </w:rPr>
              <w:t xml:space="preserve"> (</w:t>
            </w:r>
            <w:r w:rsidRPr="00946C51">
              <w:rPr>
                <w:rStyle w:val="lev"/>
                <w:sz w:val="21"/>
                <w:szCs w:val="21"/>
                <w:lang w:val="en-US"/>
              </w:rPr>
              <w:t>HTGR)</w:t>
            </w:r>
            <w:r w:rsidRPr="00946C51">
              <w:rPr>
                <w:sz w:val="21"/>
                <w:szCs w:val="21"/>
                <w:lang w:val="en-US"/>
              </w:rPr>
              <w:t xml:space="preserve"> with Helium as reactor coolant and heat vector, or by </w:t>
            </w:r>
            <w:r w:rsidRPr="00946C51">
              <w:rPr>
                <w:rStyle w:val="lev"/>
                <w:sz w:val="21"/>
                <w:szCs w:val="21"/>
                <w:lang w:val="en-US"/>
              </w:rPr>
              <w:t>molten salt reactors</w:t>
            </w:r>
            <w:r w:rsidRPr="00946C51">
              <w:rPr>
                <w:sz w:val="21"/>
                <w:szCs w:val="21"/>
                <w:lang w:val="en-US"/>
              </w:rPr>
              <w:t xml:space="preserve"> (</w:t>
            </w:r>
            <w:r w:rsidRPr="00946C51">
              <w:rPr>
                <w:rStyle w:val="lev"/>
                <w:sz w:val="21"/>
                <w:szCs w:val="21"/>
                <w:lang w:val="en-US"/>
              </w:rPr>
              <w:t>MSR</w:t>
            </w:r>
            <w:r w:rsidRPr="00946C51">
              <w:rPr>
                <w:sz w:val="21"/>
                <w:szCs w:val="21"/>
                <w:lang w:val="en-US"/>
              </w:rPr>
              <w:t>) providing heat sources in a temperature range between 600 and 1,000 °C? The pyrolysis of water at high temperature would be obtained through specific thermochemical reactions involving chemical products to be recycled. Such Gen-IV-type reactors for electricity &amp; heat production are presently under development in most G20 countries. On top of the operational compatibility (dispatchable energy production), advanced reactors could be installed right next to consumption points, greatly cutting down on transport and distribution costs. However, such a nuclear approach would obviously depend on the energy policy of the country concerned.</w:t>
            </w:r>
          </w:p>
          <w:p w14:paraId="5AD84240" w14:textId="77777777" w:rsidR="00946C51" w:rsidRDefault="00946C51" w:rsidP="00946C51">
            <w:pPr>
              <w:pStyle w:val="NormalWeb"/>
              <w:rPr>
                <w:sz w:val="21"/>
                <w:szCs w:val="21"/>
              </w:rPr>
            </w:pPr>
            <w:r>
              <w:t>Ir Bernard MAIRY</w:t>
            </w:r>
          </w:p>
          <w:p w14:paraId="35728637" w14:textId="77777777" w:rsidR="00946C51" w:rsidRDefault="00946C51" w:rsidP="00946C51">
            <w:pPr>
              <w:pStyle w:val="NormalWeb"/>
              <w:numPr>
                <w:ilvl w:val="0"/>
                <w:numId w:val="7"/>
              </w:numPr>
              <w:rPr>
                <w:sz w:val="21"/>
                <w:szCs w:val="21"/>
              </w:rPr>
            </w:pPr>
            <w:r>
              <w:t xml:space="preserve">SEII </w:t>
            </w:r>
            <w:proofErr w:type="spellStart"/>
            <w:r>
              <w:t>Executive</w:t>
            </w:r>
            <w:proofErr w:type="spellEnd"/>
            <w:r>
              <w:t xml:space="preserve"> </w:t>
            </w:r>
            <w:proofErr w:type="spellStart"/>
            <w:r>
              <w:t>Director</w:t>
            </w:r>
            <w:proofErr w:type="spellEnd"/>
            <w:r>
              <w:t xml:space="preserve"> </w:t>
            </w:r>
          </w:p>
          <w:p w14:paraId="0593B437" w14:textId="77777777" w:rsidR="00946C51" w:rsidRDefault="00946C51" w:rsidP="00946C51">
            <w:pPr>
              <w:pStyle w:val="NormalWeb"/>
              <w:numPr>
                <w:ilvl w:val="0"/>
                <w:numId w:val="7"/>
              </w:numPr>
              <w:rPr>
                <w:sz w:val="21"/>
                <w:szCs w:val="21"/>
              </w:rPr>
            </w:pPr>
            <w:r>
              <w:t xml:space="preserve">AIST &amp; AIST-DRI </w:t>
            </w:r>
            <w:proofErr w:type="spellStart"/>
            <w:r>
              <w:t>Committee</w:t>
            </w:r>
            <w:proofErr w:type="spellEnd"/>
            <w:r>
              <w:t xml:space="preserve"> (USA) Member </w:t>
            </w:r>
          </w:p>
          <w:p w14:paraId="0E75595B" w14:textId="77777777" w:rsidR="00946C51" w:rsidRDefault="00946C51" w:rsidP="00946C51">
            <w:pPr>
              <w:pStyle w:val="NormalWeb"/>
              <w:numPr>
                <w:ilvl w:val="0"/>
                <w:numId w:val="7"/>
              </w:numPr>
              <w:rPr>
                <w:sz w:val="21"/>
                <w:szCs w:val="21"/>
              </w:rPr>
            </w:pPr>
            <w:proofErr w:type="spellStart"/>
            <w:r>
              <w:t>VDEh</w:t>
            </w:r>
            <w:proofErr w:type="spellEnd"/>
            <w:r>
              <w:t xml:space="preserve"> Stahl Institut (D) Member </w:t>
            </w:r>
          </w:p>
          <w:p w14:paraId="46F1B473" w14:textId="77777777" w:rsidR="00946C51" w:rsidRDefault="00946C51" w:rsidP="00946C51">
            <w:pPr>
              <w:pStyle w:val="NormalWeb"/>
              <w:numPr>
                <w:ilvl w:val="0"/>
                <w:numId w:val="7"/>
              </w:numPr>
              <w:rPr>
                <w:sz w:val="21"/>
                <w:szCs w:val="21"/>
              </w:rPr>
            </w:pPr>
            <w:r>
              <w:t>BNS Member</w:t>
            </w:r>
          </w:p>
          <w:p w14:paraId="41A4890D" w14:textId="77777777" w:rsidR="00946C51" w:rsidRPr="00946C51" w:rsidRDefault="00946C51" w:rsidP="00946C51">
            <w:pPr>
              <w:pStyle w:val="NormalWeb"/>
              <w:rPr>
                <w:sz w:val="21"/>
                <w:szCs w:val="21"/>
                <w:lang w:val="en-US"/>
              </w:rPr>
            </w:pPr>
            <w:r w:rsidRPr="00946C51">
              <w:rPr>
                <w:rStyle w:val="lev"/>
                <w:lang w:val="en-US"/>
              </w:rPr>
              <w:t xml:space="preserve">Note </w:t>
            </w:r>
            <w:r w:rsidRPr="00946C51">
              <w:rPr>
                <w:lang w:val="en-US"/>
              </w:rPr>
              <w:t>: the DRI technology has been growing despite the CO</w:t>
            </w:r>
            <w:r w:rsidRPr="00946C51">
              <w:rPr>
                <w:sz w:val="21"/>
                <w:szCs w:val="21"/>
                <w:lang w:val="en-US"/>
              </w:rPr>
              <w:t>2</w:t>
            </w:r>
            <w:r w:rsidRPr="00946C51">
              <w:rPr>
                <w:lang w:val="en-US"/>
              </w:rPr>
              <w:t xml:space="preserve"> issue related to methane as reductant but would be boosted by the use of green hydrogen as reductant provided the answers to the above questions could receive a positive </w:t>
            </w:r>
            <w:r w:rsidRPr="00946C51">
              <w:rPr>
                <w:lang w:val="en-US"/>
              </w:rPr>
              <w:lastRenderedPageBreak/>
              <w:t>reply. This technology is currently provided by two main builders, respectively MIDREX (USA) and TENOVA(AR) &amp; DANIELI (Italy).</w:t>
            </w:r>
          </w:p>
          <w:p w14:paraId="602A996D" w14:textId="77777777" w:rsidR="00946C51" w:rsidRDefault="00946C51" w:rsidP="00946C51">
            <w:pPr>
              <w:pStyle w:val="Titre3"/>
              <w:rPr>
                <w:sz w:val="27"/>
                <w:szCs w:val="27"/>
              </w:rPr>
            </w:pPr>
            <w:proofErr w:type="spellStart"/>
            <w:r>
              <w:t>References</w:t>
            </w:r>
            <w:proofErr w:type="spellEnd"/>
            <w:r>
              <w:t>:</w:t>
            </w:r>
          </w:p>
          <w:p w14:paraId="5D4CE567" w14:textId="77777777" w:rsidR="00946C51" w:rsidRPr="00946C51" w:rsidRDefault="00946C51" w:rsidP="00946C51">
            <w:pPr>
              <w:pStyle w:val="NormalWeb"/>
              <w:numPr>
                <w:ilvl w:val="0"/>
                <w:numId w:val="8"/>
              </w:numPr>
              <w:rPr>
                <w:sz w:val="21"/>
                <w:szCs w:val="21"/>
                <w:lang w:val="de-DE"/>
              </w:rPr>
            </w:pPr>
            <w:proofErr w:type="spellStart"/>
            <w:r w:rsidRPr="00946C51">
              <w:rPr>
                <w:lang w:val="de-DE"/>
              </w:rPr>
              <w:t>Dr</w:t>
            </w:r>
            <w:proofErr w:type="spellEnd"/>
            <w:r w:rsidRPr="00946C51">
              <w:rPr>
                <w:lang w:val="de-DE"/>
              </w:rPr>
              <w:t xml:space="preserve">-Ing Hans-Bodo LUNGEN, Stahlinstitut </w:t>
            </w:r>
            <w:proofErr w:type="spellStart"/>
            <w:r w:rsidRPr="00946C51">
              <w:rPr>
                <w:lang w:val="de-DE"/>
              </w:rPr>
              <w:t>VDEh,</w:t>
            </w:r>
            <w:r w:rsidRPr="00946C51">
              <w:rPr>
                <w:color w:val="000000"/>
                <w:sz w:val="21"/>
                <w:szCs w:val="21"/>
                <w:lang w:val="de-DE"/>
              </w:rPr>
              <w:t>Schlüsselwege</w:t>
            </w:r>
            <w:proofErr w:type="spellEnd"/>
            <w:r w:rsidRPr="00946C51">
              <w:rPr>
                <w:color w:val="000000"/>
                <w:sz w:val="21"/>
                <w:szCs w:val="21"/>
                <w:lang w:val="de-DE"/>
              </w:rPr>
              <w:t xml:space="preserve"> zur CO2-Minderung der Stahlindustrie, </w:t>
            </w:r>
            <w:proofErr w:type="spellStart"/>
            <w:r w:rsidRPr="00946C51">
              <w:rPr>
                <w:color w:val="000000"/>
                <w:sz w:val="21"/>
                <w:szCs w:val="21"/>
                <w:lang w:val="de-DE"/>
              </w:rPr>
              <w:t>Stahl+Eisen</w:t>
            </w:r>
            <w:proofErr w:type="spellEnd"/>
            <w:r w:rsidRPr="00946C51">
              <w:rPr>
                <w:color w:val="000000"/>
                <w:sz w:val="21"/>
                <w:szCs w:val="21"/>
                <w:lang w:val="de-DE"/>
              </w:rPr>
              <w:t>, March 2021</w:t>
            </w:r>
            <w:r w:rsidRPr="00946C51">
              <w:rPr>
                <w:color w:val="000000"/>
                <w:lang w:val="de-DE"/>
              </w:rPr>
              <w:t xml:space="preserve">. </w:t>
            </w:r>
          </w:p>
          <w:p w14:paraId="6A099574" w14:textId="77777777" w:rsidR="00946C51" w:rsidRPr="00946C51" w:rsidRDefault="00946C51" w:rsidP="00946C51">
            <w:pPr>
              <w:pStyle w:val="NormalWeb"/>
              <w:numPr>
                <w:ilvl w:val="0"/>
                <w:numId w:val="8"/>
              </w:numPr>
              <w:rPr>
                <w:sz w:val="21"/>
                <w:szCs w:val="21"/>
                <w:lang w:val="en-US"/>
              </w:rPr>
            </w:pPr>
            <w:r w:rsidRPr="00946C51">
              <w:rPr>
                <w:lang w:val="en-US"/>
              </w:rPr>
              <w:t xml:space="preserve">Alisha GIGLIO, HATCH, AIST March 2021 Recent Sustainability Development in the Iron and Steel Industry </w:t>
            </w:r>
          </w:p>
          <w:p w14:paraId="0CB778B5" w14:textId="77777777" w:rsidR="00946C51" w:rsidRPr="00946C51" w:rsidRDefault="00946C51" w:rsidP="00946C51">
            <w:pPr>
              <w:pStyle w:val="NormalWeb"/>
              <w:numPr>
                <w:ilvl w:val="0"/>
                <w:numId w:val="8"/>
              </w:numPr>
              <w:rPr>
                <w:sz w:val="21"/>
                <w:szCs w:val="21"/>
                <w:lang w:val="de-DE"/>
              </w:rPr>
            </w:pPr>
            <w:proofErr w:type="spellStart"/>
            <w:r w:rsidRPr="00946C51">
              <w:rPr>
                <w:lang w:val="de-DE"/>
              </w:rPr>
              <w:t>Tksteel,Stahl</w:t>
            </w:r>
            <w:proofErr w:type="spellEnd"/>
            <w:r w:rsidRPr="00946C51">
              <w:rPr>
                <w:lang w:val="de-DE"/>
              </w:rPr>
              <w:t xml:space="preserve"> &amp; Eisen </w:t>
            </w:r>
            <w:proofErr w:type="spellStart"/>
            <w:r w:rsidRPr="00946C51">
              <w:rPr>
                <w:lang w:val="de-DE"/>
              </w:rPr>
              <w:t>Jan+Feb</w:t>
            </w:r>
            <w:proofErr w:type="spellEnd"/>
            <w:r w:rsidRPr="00946C51">
              <w:rPr>
                <w:lang w:val="de-DE"/>
              </w:rPr>
              <w:t xml:space="preserve">/2021 Erste Direktreduktionanlage mit </w:t>
            </w:r>
            <w:proofErr w:type="spellStart"/>
            <w:r w:rsidRPr="00946C51">
              <w:rPr>
                <w:lang w:val="de-DE"/>
              </w:rPr>
              <w:t>Einschmelzer</w:t>
            </w:r>
            <w:proofErr w:type="spellEnd"/>
            <w:r w:rsidRPr="00946C51">
              <w:rPr>
                <w:lang w:val="de-DE"/>
              </w:rPr>
              <w:t xml:space="preserve"> </w:t>
            </w:r>
          </w:p>
          <w:p w14:paraId="759E6B00" w14:textId="77777777" w:rsidR="00946C51" w:rsidRPr="00946C51" w:rsidRDefault="00946C51" w:rsidP="00946C51">
            <w:pPr>
              <w:pStyle w:val="NormalWeb"/>
              <w:numPr>
                <w:ilvl w:val="0"/>
                <w:numId w:val="8"/>
              </w:numPr>
              <w:rPr>
                <w:sz w:val="21"/>
                <w:szCs w:val="21"/>
                <w:lang w:val="it-IT"/>
              </w:rPr>
            </w:pPr>
            <w:r w:rsidRPr="00946C51">
              <w:rPr>
                <w:lang w:val="it-IT"/>
              </w:rPr>
              <w:t>Dr-</w:t>
            </w:r>
            <w:proofErr w:type="spellStart"/>
            <w:r w:rsidRPr="00946C51">
              <w:rPr>
                <w:lang w:val="it-IT"/>
              </w:rPr>
              <w:t>IrSamuel</w:t>
            </w:r>
            <w:proofErr w:type="spellEnd"/>
            <w:r w:rsidRPr="00946C51">
              <w:rPr>
                <w:lang w:val="it-IT"/>
              </w:rPr>
              <w:t xml:space="preserve"> FURFARI : The </w:t>
            </w:r>
            <w:proofErr w:type="spellStart"/>
            <w:r w:rsidRPr="00946C51">
              <w:rPr>
                <w:lang w:val="it-IT"/>
              </w:rPr>
              <w:t>Hydrogen</w:t>
            </w:r>
            <w:proofErr w:type="spellEnd"/>
            <w:r w:rsidRPr="00946C51">
              <w:rPr>
                <w:lang w:val="it-IT"/>
              </w:rPr>
              <w:t xml:space="preserve"> Utopia </w:t>
            </w:r>
          </w:p>
          <w:p w14:paraId="597BE87E" w14:textId="77777777" w:rsidR="00946C51" w:rsidRDefault="00946C51" w:rsidP="00946C51">
            <w:pPr>
              <w:pStyle w:val="NormalWeb"/>
              <w:numPr>
                <w:ilvl w:val="0"/>
                <w:numId w:val="8"/>
              </w:numPr>
              <w:rPr>
                <w:sz w:val="21"/>
                <w:szCs w:val="21"/>
              </w:rPr>
            </w:pPr>
            <w:r>
              <w:t xml:space="preserve">IEA International Energy Agency, 2019 </w:t>
            </w:r>
            <w:proofErr w:type="spellStart"/>
            <w:r>
              <w:t>Hydrogen</w:t>
            </w:r>
            <w:proofErr w:type="spellEnd"/>
            <w:r>
              <w:t xml:space="preserve"> Report </w:t>
            </w:r>
          </w:p>
          <w:p w14:paraId="01930F9B" w14:textId="77777777" w:rsidR="00946C51" w:rsidRDefault="00946C51" w:rsidP="00946C51">
            <w:pPr>
              <w:pStyle w:val="NormalWeb"/>
              <w:numPr>
                <w:ilvl w:val="0"/>
                <w:numId w:val="8"/>
              </w:numPr>
              <w:rPr>
                <w:sz w:val="21"/>
                <w:szCs w:val="21"/>
              </w:rPr>
            </w:pPr>
            <w:r>
              <w:t xml:space="preserve">MIDREX : </w:t>
            </w:r>
            <w:proofErr w:type="spellStart"/>
            <w:r>
              <w:t>private</w:t>
            </w:r>
            <w:proofErr w:type="spellEnd"/>
            <w:r>
              <w:t xml:space="preserve"> communication </w:t>
            </w:r>
          </w:p>
          <w:p w14:paraId="01CA5B05" w14:textId="77777777" w:rsidR="00946C51" w:rsidRDefault="00946C51" w:rsidP="00946C51">
            <w:pPr>
              <w:pStyle w:val="NormalWeb"/>
              <w:numPr>
                <w:ilvl w:val="0"/>
                <w:numId w:val="8"/>
              </w:numPr>
              <w:rPr>
                <w:sz w:val="21"/>
                <w:szCs w:val="21"/>
              </w:rPr>
            </w:pPr>
            <w:r w:rsidRPr="00946C51">
              <w:rPr>
                <w:lang w:val="en-US"/>
              </w:rPr>
              <w:t xml:space="preserve">World Crude Steel production – Industry Statistics. </w:t>
            </w:r>
            <w:r>
              <w:t xml:space="preserve">AIST March 2021 </w:t>
            </w:r>
          </w:p>
          <w:p w14:paraId="4B127AA6" w14:textId="77777777" w:rsidR="00946C51" w:rsidRDefault="00946C51" w:rsidP="00946C51">
            <w:pPr>
              <w:pStyle w:val="NormalWeb"/>
              <w:numPr>
                <w:ilvl w:val="0"/>
                <w:numId w:val="8"/>
              </w:numPr>
              <w:rPr>
                <w:sz w:val="21"/>
                <w:szCs w:val="21"/>
              </w:rPr>
            </w:pPr>
            <w:r>
              <w:t xml:space="preserve">EUROFER EU-28 Steel </w:t>
            </w:r>
            <w:proofErr w:type="spellStart"/>
            <w:r>
              <w:t>Statistics</w:t>
            </w:r>
            <w:proofErr w:type="spellEnd"/>
            <w:r>
              <w:t xml:space="preserve">: website </w:t>
            </w:r>
          </w:p>
          <w:p w14:paraId="1EF8219C" w14:textId="77777777" w:rsidR="00946C51" w:rsidRPr="00946C51" w:rsidRDefault="00946C51" w:rsidP="00946C51">
            <w:pPr>
              <w:pStyle w:val="NormalWeb"/>
              <w:numPr>
                <w:ilvl w:val="0"/>
                <w:numId w:val="8"/>
              </w:numPr>
              <w:rPr>
                <w:sz w:val="21"/>
                <w:szCs w:val="21"/>
                <w:lang w:val="en-US"/>
              </w:rPr>
            </w:pPr>
            <w:r w:rsidRPr="00946C51">
              <w:rPr>
                <w:lang w:val="en-US"/>
              </w:rPr>
              <w:t xml:space="preserve">Proceedings IEEE Oct.2006, p1835, Ulf BOSSEL </w:t>
            </w:r>
          </w:p>
          <w:p w14:paraId="302E2D19" w14:textId="77777777" w:rsidR="00946C51" w:rsidRDefault="00946C51" w:rsidP="00946C51">
            <w:pPr>
              <w:pStyle w:val="NormalWeb"/>
              <w:numPr>
                <w:ilvl w:val="0"/>
                <w:numId w:val="8"/>
              </w:numPr>
              <w:rPr>
                <w:sz w:val="21"/>
                <w:szCs w:val="21"/>
              </w:rPr>
            </w:pPr>
            <w:r w:rsidRPr="00946C51">
              <w:rPr>
                <w:lang w:val="nl-NL"/>
              </w:rPr>
              <w:t xml:space="preserve">UK Energy System </w:t>
            </w:r>
            <w:proofErr w:type="spellStart"/>
            <w:r w:rsidRPr="00946C51">
              <w:rPr>
                <w:lang w:val="nl-NL"/>
              </w:rPr>
              <w:t>Modelling</w:t>
            </w:r>
            <w:proofErr w:type="spellEnd"/>
            <w:r w:rsidRPr="00946C51">
              <w:rPr>
                <w:lang w:val="nl-NL"/>
              </w:rPr>
              <w:t xml:space="preserve"> : Net Zero 2050. </w:t>
            </w:r>
            <w:r>
              <w:t xml:space="preserve">National Nuclear </w:t>
            </w:r>
            <w:proofErr w:type="spellStart"/>
            <w:r>
              <w:t>Laboratory</w:t>
            </w:r>
            <w:proofErr w:type="spellEnd"/>
            <w:r>
              <w:t xml:space="preserve"> 2021 </w:t>
            </w:r>
          </w:p>
          <w:p w14:paraId="7684E03C" w14:textId="77777777" w:rsidR="00946C51" w:rsidRPr="00946C51" w:rsidRDefault="00946C51" w:rsidP="00946C51">
            <w:pPr>
              <w:pStyle w:val="NormalWeb"/>
              <w:numPr>
                <w:ilvl w:val="0"/>
                <w:numId w:val="8"/>
              </w:numPr>
              <w:rPr>
                <w:sz w:val="21"/>
                <w:szCs w:val="21"/>
                <w:lang w:val="en-US"/>
              </w:rPr>
            </w:pPr>
            <w:r w:rsidRPr="00946C51">
              <w:rPr>
                <w:lang w:val="en-US"/>
              </w:rPr>
              <w:t xml:space="preserve">Peter MARCUS &amp; John VILLA, Strategic Insights from WSD, AIST Issue of July 2021 </w:t>
            </w:r>
          </w:p>
          <w:p w14:paraId="629B5AED" w14:textId="77777777" w:rsidR="00946C51" w:rsidRDefault="00946C51" w:rsidP="00946C51">
            <w:pPr>
              <w:pStyle w:val="NormalWeb"/>
              <w:numPr>
                <w:ilvl w:val="0"/>
                <w:numId w:val="8"/>
              </w:numPr>
              <w:rPr>
                <w:sz w:val="21"/>
                <w:szCs w:val="21"/>
              </w:rPr>
            </w:pPr>
            <w:r>
              <w:t xml:space="preserve">ArcelorMittal </w:t>
            </w:r>
            <w:proofErr w:type="spellStart"/>
            <w:r>
              <w:t>press</w:t>
            </w:r>
            <w:proofErr w:type="spellEnd"/>
            <w:r>
              <w:t xml:space="preserve"> release July 29, 2021 </w:t>
            </w:r>
          </w:p>
          <w:p w14:paraId="7CFC1D1F" w14:textId="77777777" w:rsidR="00946C51" w:rsidRDefault="00946C51" w:rsidP="00946C51">
            <w:pPr>
              <w:pStyle w:val="NormalWeb"/>
              <w:numPr>
                <w:ilvl w:val="0"/>
                <w:numId w:val="8"/>
              </w:numPr>
              <w:rPr>
                <w:sz w:val="21"/>
                <w:szCs w:val="21"/>
              </w:rPr>
            </w:pPr>
            <w:proofErr w:type="spellStart"/>
            <w:r>
              <w:t>Ch.HEINE</w:t>
            </w:r>
            <w:proofErr w:type="spellEnd"/>
            <w:r>
              <w:t xml:space="preserve"> , Revue ELECTRICITE, n°164, June 1977</w:t>
            </w:r>
          </w:p>
        </w:tc>
      </w:tr>
    </w:tbl>
    <w:p w14:paraId="047EF049" w14:textId="0AED43D1" w:rsidR="00946C51" w:rsidRDefault="00946C51">
      <w:r>
        <w:rPr>
          <w:lang w:val="fr-FR"/>
        </w:rPr>
        <w:lastRenderedPageBreak/>
        <w:t xml:space="preserve">Page </w:t>
      </w:r>
      <w:r>
        <w:rPr>
          <w:b/>
          <w:bCs/>
        </w:rPr>
        <w:fldChar w:fldCharType="begin"/>
      </w:r>
      <w:r>
        <w:rPr>
          <w:b/>
          <w:bCs/>
        </w:rPr>
        <w:instrText>PAGE  \* Arabic  \* MERGEFORMAT</w:instrText>
      </w:r>
      <w:r>
        <w:rPr>
          <w:b/>
          <w:bCs/>
        </w:rPr>
        <w:fldChar w:fldCharType="separate"/>
      </w:r>
      <w:r w:rsidRPr="00946C51">
        <w:rPr>
          <w:b/>
          <w:bCs/>
          <w:noProof/>
          <w:lang w:val="fr-FR"/>
        </w:rPr>
        <w:t>9</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sidRPr="00946C51">
        <w:rPr>
          <w:b/>
          <w:bCs/>
          <w:noProof/>
          <w:lang w:val="fr-FR"/>
        </w:rPr>
        <w:t>9</w:t>
      </w:r>
      <w:r>
        <w:rPr>
          <w:b/>
          <w:bCs/>
        </w:rPr>
        <w:fldChar w:fldCharType="end"/>
      </w:r>
    </w:p>
    <w:sectPr w:rsidR="00946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6E7"/>
    <w:multiLevelType w:val="multilevel"/>
    <w:tmpl w:val="23F2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A111C"/>
    <w:multiLevelType w:val="multilevel"/>
    <w:tmpl w:val="3B2C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C541A"/>
    <w:multiLevelType w:val="multilevel"/>
    <w:tmpl w:val="66B0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5470D6"/>
    <w:multiLevelType w:val="multilevel"/>
    <w:tmpl w:val="2EC0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F26C3B"/>
    <w:multiLevelType w:val="multilevel"/>
    <w:tmpl w:val="A4D61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85B91"/>
    <w:multiLevelType w:val="multilevel"/>
    <w:tmpl w:val="1872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16B91"/>
    <w:multiLevelType w:val="multilevel"/>
    <w:tmpl w:val="EBF2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8F142C"/>
    <w:multiLevelType w:val="multilevel"/>
    <w:tmpl w:val="15E4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3"/>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51"/>
    <w:rsid w:val="00946C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62E0"/>
  <w15:chartTrackingRefBased/>
  <w15:docId w15:val="{0ABD09C9-865D-4D3C-A921-B0BECBB6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46C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946C51"/>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next w:val="Normal"/>
    <w:link w:val="Titre3Car"/>
    <w:uiPriority w:val="9"/>
    <w:semiHidden/>
    <w:unhideWhenUsed/>
    <w:qFormat/>
    <w:rsid w:val="00946C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6C51"/>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946C51"/>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946C5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946C51"/>
    <w:rPr>
      <w:b/>
      <w:bCs/>
    </w:rPr>
  </w:style>
  <w:style w:type="character" w:customStyle="1" w:styleId="Titre3Car">
    <w:name w:val="Titre 3 Car"/>
    <w:basedOn w:val="Policepardfaut"/>
    <w:link w:val="Titre3"/>
    <w:uiPriority w:val="9"/>
    <w:semiHidden/>
    <w:rsid w:val="00946C51"/>
    <w:rPr>
      <w:rFonts w:asciiTheme="majorHAnsi" w:eastAsiaTheme="majorEastAsia" w:hAnsiTheme="majorHAnsi" w:cstheme="majorBidi"/>
      <w:color w:val="1F3763" w:themeColor="accent1" w:themeShade="7F"/>
      <w:sz w:val="24"/>
      <w:szCs w:val="24"/>
    </w:rPr>
  </w:style>
  <w:style w:type="character" w:styleId="Accentuation">
    <w:name w:val="Emphasis"/>
    <w:basedOn w:val="Policepardfaut"/>
    <w:uiPriority w:val="20"/>
    <w:qFormat/>
    <w:rsid w:val="00946C51"/>
    <w:rPr>
      <w:i/>
      <w:iCs/>
    </w:rPr>
  </w:style>
  <w:style w:type="paragraph" w:customStyle="1" w:styleId="last-child">
    <w:name w:val="last-child"/>
    <w:basedOn w:val="Normal"/>
    <w:rsid w:val="00946C51"/>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08759">
      <w:bodyDiv w:val="1"/>
      <w:marLeft w:val="0"/>
      <w:marRight w:val="0"/>
      <w:marTop w:val="0"/>
      <w:marBottom w:val="0"/>
      <w:divBdr>
        <w:top w:val="none" w:sz="0" w:space="0" w:color="auto"/>
        <w:left w:val="none" w:sz="0" w:space="0" w:color="auto"/>
        <w:bottom w:val="none" w:sz="0" w:space="0" w:color="auto"/>
        <w:right w:val="none" w:sz="0" w:space="0" w:color="auto"/>
      </w:divBdr>
    </w:div>
    <w:div w:id="487866148">
      <w:bodyDiv w:val="1"/>
      <w:marLeft w:val="0"/>
      <w:marRight w:val="0"/>
      <w:marTop w:val="0"/>
      <w:marBottom w:val="0"/>
      <w:divBdr>
        <w:top w:val="none" w:sz="0" w:space="0" w:color="auto"/>
        <w:left w:val="none" w:sz="0" w:space="0" w:color="auto"/>
        <w:bottom w:val="none" w:sz="0" w:space="0" w:color="auto"/>
        <w:right w:val="none" w:sz="0" w:space="0" w:color="auto"/>
      </w:divBdr>
      <w:divsChild>
        <w:div w:id="619073904">
          <w:marLeft w:val="0"/>
          <w:marRight w:val="0"/>
          <w:marTop w:val="0"/>
          <w:marBottom w:val="0"/>
          <w:divBdr>
            <w:top w:val="none" w:sz="0" w:space="0" w:color="auto"/>
            <w:left w:val="none" w:sz="0" w:space="0" w:color="auto"/>
            <w:bottom w:val="none" w:sz="0" w:space="0" w:color="auto"/>
            <w:right w:val="none" w:sz="0" w:space="0" w:color="auto"/>
          </w:divBdr>
        </w:div>
        <w:div w:id="1087656788">
          <w:marLeft w:val="0"/>
          <w:marRight w:val="0"/>
          <w:marTop w:val="0"/>
          <w:marBottom w:val="0"/>
          <w:divBdr>
            <w:top w:val="none" w:sz="0" w:space="0" w:color="auto"/>
            <w:left w:val="none" w:sz="0" w:space="0" w:color="auto"/>
            <w:bottom w:val="none" w:sz="0" w:space="0" w:color="auto"/>
            <w:right w:val="none" w:sz="0" w:space="0" w:color="auto"/>
          </w:divBdr>
        </w:div>
        <w:div w:id="342509693">
          <w:marLeft w:val="0"/>
          <w:marRight w:val="0"/>
          <w:marTop w:val="0"/>
          <w:marBottom w:val="0"/>
          <w:divBdr>
            <w:top w:val="none" w:sz="0" w:space="0" w:color="auto"/>
            <w:left w:val="none" w:sz="0" w:space="0" w:color="auto"/>
            <w:bottom w:val="none" w:sz="0" w:space="0" w:color="auto"/>
            <w:right w:val="none" w:sz="0" w:space="0" w:color="auto"/>
          </w:divBdr>
        </w:div>
        <w:div w:id="1496915062">
          <w:marLeft w:val="0"/>
          <w:marRight w:val="0"/>
          <w:marTop w:val="0"/>
          <w:marBottom w:val="0"/>
          <w:divBdr>
            <w:top w:val="none" w:sz="0" w:space="0" w:color="auto"/>
            <w:left w:val="none" w:sz="0" w:space="0" w:color="auto"/>
            <w:bottom w:val="none" w:sz="0" w:space="0" w:color="auto"/>
            <w:right w:val="none" w:sz="0" w:space="0" w:color="auto"/>
          </w:divBdr>
        </w:div>
        <w:div w:id="2009164083">
          <w:marLeft w:val="0"/>
          <w:marRight w:val="0"/>
          <w:marTop w:val="0"/>
          <w:marBottom w:val="0"/>
          <w:divBdr>
            <w:top w:val="none" w:sz="0" w:space="0" w:color="auto"/>
            <w:left w:val="none" w:sz="0" w:space="0" w:color="auto"/>
            <w:bottom w:val="none" w:sz="0" w:space="0" w:color="auto"/>
            <w:right w:val="none" w:sz="0" w:space="0" w:color="auto"/>
          </w:divBdr>
        </w:div>
        <w:div w:id="1776711180">
          <w:marLeft w:val="0"/>
          <w:marRight w:val="0"/>
          <w:marTop w:val="0"/>
          <w:marBottom w:val="0"/>
          <w:divBdr>
            <w:top w:val="none" w:sz="0" w:space="0" w:color="auto"/>
            <w:left w:val="none" w:sz="0" w:space="0" w:color="auto"/>
            <w:bottom w:val="none" w:sz="0" w:space="0" w:color="auto"/>
            <w:right w:val="none" w:sz="0" w:space="0" w:color="auto"/>
          </w:divBdr>
        </w:div>
        <w:div w:id="2129470033">
          <w:marLeft w:val="0"/>
          <w:marRight w:val="0"/>
          <w:marTop w:val="0"/>
          <w:marBottom w:val="0"/>
          <w:divBdr>
            <w:top w:val="none" w:sz="0" w:space="0" w:color="auto"/>
            <w:left w:val="none" w:sz="0" w:space="0" w:color="auto"/>
            <w:bottom w:val="none" w:sz="0" w:space="0" w:color="auto"/>
            <w:right w:val="none" w:sz="0" w:space="0" w:color="auto"/>
          </w:divBdr>
        </w:div>
        <w:div w:id="385297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1724</Words>
  <Characters>9482</Characters>
  <Application>Microsoft Office Word</Application>
  <DocSecurity>0</DocSecurity>
  <Lines>79</Lines>
  <Paragraphs>22</Paragraphs>
  <ScaleCrop>false</ScaleCrop>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Ronsse</dc:creator>
  <cp:keywords/>
  <dc:description/>
  <cp:lastModifiedBy>Yves Ronsse</cp:lastModifiedBy>
  <cp:revision>2</cp:revision>
  <dcterms:created xsi:type="dcterms:W3CDTF">2021-11-05T22:18:00Z</dcterms:created>
  <dcterms:modified xsi:type="dcterms:W3CDTF">2021-11-05T22:22:00Z</dcterms:modified>
</cp:coreProperties>
</file>